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9.png" ContentType="image/png"/>
  <Override PartName="/word/media/rId21.png" ContentType="image/png"/>
  <Override PartName="/word/media/rId25.png" ContentType="image/png"/>
  <Override PartName="/word/media/rId33.png" ContentType="image/png"/>
  <Override PartName="/word/media/rId36.png" ContentType="image/png"/>
  <Override PartName="/word/media/rId39.png" ContentType="image/png"/>
  <Override PartName="/word/media/rId4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Distribuição</w:t>
      </w:r>
      <w:r>
        <w:t xml:space="preserve"> </w:t>
      </w:r>
      <w:r>
        <w:t xml:space="preserve">espacial</w:t>
      </w:r>
      <w:r>
        <w:t xml:space="preserve"> </w:t>
      </w:r>
      <w:r>
        <w:t xml:space="preserve">de</w:t>
      </w:r>
      <w:r>
        <w:t xml:space="preserve"> </w:t>
      </w:r>
      <w:r>
        <w:t xml:space="preserve">Colêmbola</w:t>
      </w:r>
      <w:r>
        <w:t xml:space="preserve"> </w:t>
      </w:r>
      <w:r>
        <w:t xml:space="preserve">no</w:t>
      </w:r>
      <w:r>
        <w:t xml:space="preserve"> </w:t>
      </w:r>
      <w:r>
        <w:t xml:space="preserve">Arquipélago</w:t>
      </w:r>
      <w:r>
        <w:t xml:space="preserve"> </w:t>
      </w:r>
      <w:r>
        <w:t xml:space="preserve">de</w:t>
      </w:r>
      <w:r>
        <w:t xml:space="preserve"> </w:t>
      </w:r>
      <w:r>
        <w:t xml:space="preserve">Fernando</w:t>
      </w:r>
      <w:r>
        <w:t xml:space="preserve"> </w:t>
      </w:r>
      <w:r>
        <w:t xml:space="preserve">de</w:t>
      </w:r>
      <w:r>
        <w:t xml:space="preserve"> </w:t>
      </w:r>
      <w:r>
        <w:t xml:space="preserve">Noronha</w:t>
      </w:r>
    </w:p>
    <w:p>
      <w:pPr>
        <w:pStyle w:val="Subtitle"/>
      </w:pPr>
      <w:r>
        <w:t xml:space="preserve">Disciplina</w:t>
      </w:r>
      <w:r>
        <w:t xml:space="preserve"> </w:t>
      </w:r>
      <w:r>
        <w:t xml:space="preserve">de</w:t>
      </w:r>
      <w:r>
        <w:t xml:space="preserve"> </w:t>
      </w:r>
      <w:r>
        <w:t xml:space="preserve">Ecologia</w:t>
      </w:r>
      <w:r>
        <w:t xml:space="preserve"> </w:t>
      </w:r>
      <w:r>
        <w:t xml:space="preserve">Numérica</w:t>
      </w:r>
      <w:r>
        <w:rPr>
          <w:rStyle w:val="FootnoteReference"/>
        </w:rPr>
        <w:footnoteReference w:id="20"/>
      </w:r>
    </w:p>
    <w:p>
      <w:pPr>
        <w:pStyle w:val="Author"/>
      </w:pPr>
      <w:r>
        <w:t xml:space="preserve">Prof. Elvio</w:t>
      </w:r>
      <w:r>
        <w:t xml:space="preserve"> </w:t>
      </w:r>
      <w:r>
        <w:t xml:space="preserve">S.</w:t>
      </w:r>
      <w:r>
        <w:t xml:space="preserve"> </w:t>
      </w:r>
      <w:r>
        <w:t xml:space="preserve">F.</w:t>
      </w:r>
      <w:r>
        <w:t xml:space="preserve"> </w:t>
      </w:r>
      <w:r>
        <w:t xml:space="preserve">Medeiros</w:t>
      </w:r>
    </w:p>
    <w:p>
      <w:pPr>
        <w:pStyle w:val="Author"/>
      </w:pPr>
      <w:r>
        <w:t xml:space="preserve">Laboratório</w:t>
      </w:r>
      <w:r>
        <w:t xml:space="preserve"> </w:t>
      </w:r>
      <w:r>
        <w:t xml:space="preserve">de</w:t>
      </w:r>
      <w:r>
        <w:t xml:space="preserve"> </w:t>
      </w:r>
      <w:r>
        <w:t xml:space="preserve">Ecologia</w:t>
      </w:r>
    </w:p>
    <w:p>
      <w:pPr>
        <w:pStyle w:val="Author"/>
      </w:pPr>
      <w:r>
        <w:t xml:space="preserve">Universidade</w:t>
      </w:r>
      <w:r>
        <w:t xml:space="preserve"> </w:t>
      </w:r>
      <w:r>
        <w:t xml:space="preserve">Estadual</w:t>
      </w:r>
      <w:r>
        <w:t xml:space="preserve"> </w:t>
      </w:r>
      <w:r>
        <w:t xml:space="preserve">da</w:t>
      </w:r>
      <w:r>
        <w:t xml:space="preserve"> </w:t>
      </w:r>
      <w:r>
        <w:t xml:space="preserve">Paraíba</w:t>
      </w:r>
    </w:p>
    <w:p>
      <w:pPr>
        <w:pStyle w:val="Author"/>
      </w:pPr>
      <w:r>
        <w:t xml:space="preserve">Campus</w:t>
      </w:r>
      <w:r>
        <w:t xml:space="preserve"> </w:t>
      </w:r>
      <w:r>
        <w:t xml:space="preserve">V,</w:t>
      </w:r>
      <w:r>
        <w:t xml:space="preserve"> </w:t>
      </w:r>
      <w:r>
        <w:t xml:space="preserve">João</w:t>
      </w:r>
      <w:r>
        <w:t xml:space="preserve"> </w:t>
      </w:r>
      <w:r>
        <w:t xml:space="preserve">Pessoa,</w:t>
      </w:r>
      <w:r>
        <w:t xml:space="preserve"> </w:t>
      </w:r>
      <w:r>
        <w:t xml:space="preserve">PB</w:t>
      </w:r>
    </w:p>
    <w:p>
      <w:pPr>
        <w:pStyle w:val="Date"/>
      </w:pPr>
      <w:r>
        <w:t xml:space="preserve">2023-06-19</w:t>
      </w:r>
    </w:p>
    <w:p>
      <w:pPr>
        <w:pStyle w:val="Abstract"/>
      </w:pPr>
      <w:r>
        <w:t xml:space="preserve">Nesse</w:t>
      </w:r>
      <w:r>
        <w:t xml:space="preserve"> </w:t>
      </w:r>
      <w:r>
        <w:t xml:space="preserve">artigo</w:t>
      </w:r>
      <w:r>
        <w:t xml:space="preserve"> </w:t>
      </w:r>
      <w:r>
        <w:t xml:space="preserve">publicado</w:t>
      </w:r>
      <w:r>
        <w:t xml:space="preserve"> </w:t>
      </w:r>
      <w:r>
        <w:t xml:space="preserve">por</w:t>
      </w:r>
      <w:r>
        <w:t xml:space="preserve"> </w:t>
      </w:r>
      <w:r>
        <w:t xml:space="preserve">Lima</w:t>
      </w:r>
      <w:r>
        <w:t xml:space="preserve"> </w:t>
      </w:r>
      <w:r>
        <w:t xml:space="preserve">et</w:t>
      </w:r>
      <w:r>
        <w:t xml:space="preserve"> </w:t>
      </w:r>
      <w:r>
        <w:t xml:space="preserve">al. (2023),</w:t>
      </w:r>
      <w:r>
        <w:t xml:space="preserve"> </w:t>
      </w:r>
      <w:r>
        <w:t xml:space="preserve">usa-se</w:t>
      </w:r>
      <w:r>
        <w:t xml:space="preserve"> </w:t>
      </w:r>
      <w:r>
        <w:t xml:space="preserve">db-RDA</w:t>
      </w:r>
      <w:r>
        <w:t xml:space="preserve"> </w:t>
      </w:r>
      <w:r>
        <w:t xml:space="preserve">para</w:t>
      </w:r>
      <w:r>
        <w:t xml:space="preserve"> </w:t>
      </w:r>
      <w:r>
        <w:t xml:space="preserve">se</w:t>
      </w:r>
      <w:r>
        <w:t xml:space="preserve"> </w:t>
      </w:r>
      <w:r>
        <w:t xml:space="preserve">estabelecer</w:t>
      </w:r>
      <w:r>
        <w:t xml:space="preserve"> </w:t>
      </w:r>
      <w:r>
        <w:t xml:space="preserve">a</w:t>
      </w:r>
      <w:r>
        <w:t xml:space="preserve"> </w:t>
      </w:r>
      <w:r>
        <w:t xml:space="preserve">correlação</w:t>
      </w:r>
      <w:r>
        <w:t xml:space="preserve"> </w:t>
      </w:r>
      <w:r>
        <w:t xml:space="preserve">entre</w:t>
      </w:r>
      <w:r>
        <w:t xml:space="preserve"> </w:t>
      </w:r>
      <w:r>
        <w:t xml:space="preserve">variáveis</w:t>
      </w:r>
      <w:r>
        <w:t xml:space="preserve"> </w:t>
      </w:r>
      <w:r>
        <w:t xml:space="preserve">ambientais</w:t>
      </w:r>
      <w:r>
        <w:t xml:space="preserve"> </w:t>
      </w:r>
      <w:r>
        <w:t xml:space="preserve">e</w:t>
      </w:r>
      <w:r>
        <w:t xml:space="preserve"> </w:t>
      </w:r>
      <w:r>
        <w:t xml:space="preserve">os</w:t>
      </w:r>
      <w:r>
        <w:t xml:space="preserve"> </w:t>
      </w:r>
      <w:r>
        <w:t xml:space="preserve">padrões</w:t>
      </w:r>
      <w:r>
        <w:t xml:space="preserve"> </w:t>
      </w:r>
      <w:r>
        <w:t xml:space="preserve">de</w:t>
      </w:r>
      <w:r>
        <w:t xml:space="preserve"> </w:t>
      </w:r>
      <w:r>
        <w:t xml:space="preserve">distribuição</w:t>
      </w:r>
      <w:r>
        <w:t xml:space="preserve"> </w:t>
      </w:r>
      <w:r>
        <w:t xml:space="preserve">de</w:t>
      </w:r>
      <w:r>
        <w:t xml:space="preserve"> </w:t>
      </w:r>
      <w:r>
        <w:t xml:space="preserve">Colêmbola</w:t>
      </w:r>
      <w:r>
        <w:t xml:space="preserve"> </w:t>
      </w:r>
      <w:r>
        <w:t xml:space="preserve">em</w:t>
      </w:r>
      <w:r>
        <w:t xml:space="preserve"> </w:t>
      </w:r>
      <w:r>
        <w:t xml:space="preserve">ilhas</w:t>
      </w:r>
      <w:r>
        <w:t xml:space="preserve"> </w:t>
      </w:r>
      <w:r>
        <w:t xml:space="preserve">do</w:t>
      </w:r>
      <w:r>
        <w:t xml:space="preserve"> </w:t>
      </w:r>
      <w:r>
        <w:t xml:space="preserve">Arquipélago</w:t>
      </w:r>
      <w:r>
        <w:t xml:space="preserve"> </w:t>
      </w:r>
      <w:r>
        <w:t xml:space="preserve">de</w:t>
      </w:r>
      <w:r>
        <w:t xml:space="preserve"> </w:t>
      </w:r>
      <w:r>
        <w:t xml:space="preserve">Fernando</w:t>
      </w:r>
      <w:r>
        <w:t xml:space="preserve"> </w:t>
      </w:r>
      <w:r>
        <w:t xml:space="preserve">de</w:t>
      </w:r>
      <w:r>
        <w:t xml:space="preserve"> </w:t>
      </w:r>
      <w:r>
        <w:t xml:space="preserve">Noronha.</w:t>
      </w:r>
    </w:p>
    <w:sdt>
      <w:sdtPr>
        <w:docPartObj>
          <w:docPartGallery w:val="Table of Contents"/>
          <w:docPartUnique/>
        </w:docPartObj>
      </w:sdtPr>
      <w:sdtContent>
        <w:p>
          <w:pPr>
            <w:pStyle w:val="TOCHeading"/>
          </w:pPr>
          <w:r>
            <w:t xml:space="preserve">Índice</w:t>
          </w:r>
        </w:p>
        <w:p>
          <w:r>
            <w:fldChar w:fldCharType="begin" w:dirty="true"/>
            <w:instrText xml:space="preserve">TOC \o "1-3" \h \z \u</w:instrText>
            <w:fldChar w:fldCharType="separate"/>
            <w:fldChar w:fldCharType="end"/>
          </w:r>
        </w:p>
      </w:sdtContent>
    </w:sdt>
    <w:bookmarkStart w:id="45" w:name="apresentação"/>
    <w:p>
      <w:pPr>
        <w:pStyle w:val="Heading1"/>
      </w:pPr>
      <w:r>
        <w:t xml:space="preserve">1. Apresentação</w:t>
      </w:r>
    </w:p>
    <w:p>
      <w:pPr>
        <w:pStyle w:val="FirstParagraph"/>
      </w:pPr>
      <w:r>
        <w:t xml:space="preserve">Foi determinada a composição e distribuição de Colêmbolos em três áreas ambientais costeiras do arquipélago de Fernando de Noronha, Brasil (</w:t>
      </w:r>
      <w:r>
        <w:t xml:space="preserve">Lima et al. (2023)</w:t>
      </w:r>
      <w:r>
        <w:t xml:space="preserve">). Modelos lineares generalizados (GLMs) e Análise de Redundância baseada em distâncias (db-RDA) foram utilizados para testar as relações entre variáveis ambientais e variáveis biológicas (riqueza e abundância de Colêmbolos). Os 20.308 Colêmbolos coletados ao todo formaram dois grupos faunísticos distintos em três áreas ambientais costeiras diferentes. São apresentados diferentes aspectos da distribuição de Colêmbolos do solo no arquipélago, e relatado que os ambientes de praia arenosa, que não possuem histórico de exploração de seus recursos naturais, abrigam uma única espécie endêmica especialista. Os ambientes heterogêneos de encostas e florestas de topo, por outro lado, sofreram impactos de degradação a longo prazo e demonstram uma fauna homogeneizada e generalista com ampla distribuição no continente, não diferindo entre si em termos de fauna de Colêmbolos.</w:t>
      </w:r>
    </w:p>
    <w:p>
      <w:pPr>
        <w:pStyle w:val="BodyText"/>
      </w:pPr>
      <w:r>
        <w:t xml:space="preserve">São usadas duas matrizes, uma matriz comunitária de espécies (</w:t>
      </w:r>
      <w:hyperlink w:anchor="fig-nmds">
        <w:r>
          <w:rPr>
            <w:rStyle w:val="Hyperlink"/>
          </w:rPr>
          <w:t xml:space="preserve">Figura 1</w:t>
        </w:r>
      </w:hyperlink>
      <w:r>
        <w:t xml:space="preserve">) e uma matriz de variáveis ambientais (</w:t>
      </w:r>
      <w:hyperlink w:anchor="fig-nor">
        <w:r>
          <w:rPr>
            <w:rStyle w:val="Hyperlink"/>
          </w:rPr>
          <w:t xml:space="preserve">Figura 2</w:t>
        </w:r>
      </w:hyperlink>
      <w:r>
        <w:t xml:space="preserve">). A análise de redundância (db-RDA) (</w:t>
      </w:r>
      <w:r>
        <w:t xml:space="preserve">Capblancq e Forester (2021)</w:t>
      </w:r>
      <w:r>
        <w:t xml:space="preserve">) foi utilizada como uma análise exploratória da relação entre a variação na matriz de espécies e a variação na matriz de variáveis ambientais (</w:t>
      </w:r>
      <w:r>
        <w:t xml:space="preserve">Palmer et al. (2008)</w:t>
      </w:r>
      <w:r>
        <w:t xml:space="preserve">,</w:t>
      </w:r>
      <w:r>
        <w:t xml:space="preserve"> </w:t>
      </w:r>
      <w:r>
        <w:t xml:space="preserve">Blanchet et al. (2014)</w:t>
      </w:r>
      <w:r>
        <w:t xml:space="preserve">). As variáveis ambientais que apresentaram colinearidade acima de 60% foram removidas da RDA (</w:t>
      </w:r>
      <w:r>
        <w:t xml:space="preserve">Misztal (2017)</w:t>
      </w:r>
      <w:r>
        <w:t xml:space="preserve">,</w:t>
      </w:r>
      <w:r>
        <w:t xml:space="preserve"> </w:t>
      </w:r>
      <w:r>
        <w:t xml:space="preserve">Israëls (1986)</w:t>
      </w:r>
      <w:r>
        <w:t xml:space="preserve">). A significância dos eixos canônicos na RDA foi testada usando um procedimento de permutação (999 permutações) para o efeito conjunto das variáveis explanatórias (</w:t>
      </w:r>
      <w:r>
        <w:t xml:space="preserve">Legendre et al. (2011)</w:t>
      </w:r>
      <w:r>
        <w:t xml:space="preserve">).</w:t>
      </w:r>
    </w:p>
    <w:tbl>
      <w:tblPr>
        <w:tblStyle w:val="Table"/>
        <w:tblW w:type="pct" w:w="5000"/>
        <w:tblLook w:firstRow="0" w:lastRow="0" w:firstColumn="0" w:lastColumn="0" w:noHBand="0" w:noVBand="0" w:val="0000"/>
        <w:jc w:val="start"/>
      </w:tblPr>
      <w:tblGrid>
        <w:gridCol w:w="7920"/>
      </w:tblGrid>
      <w:tr>
        <w:tc>
          <w:tcPr/>
          <w:bookmarkStart w:id="24" w:name="fig-nmds"/>
          <w:p>
            <w:pPr>
              <w:jc w:val="center"/>
            </w:pPr>
            <w:r>
              <w:drawing>
                <wp:inline>
                  <wp:extent cx="5334000" cy="2227920"/>
                  <wp:effectExtent b="0" l="0" r="0" t="0"/>
                  <wp:docPr descr="" title="" id="22" name="Picture"/>
                  <a:graphic>
                    <a:graphicData uri="http://schemas.openxmlformats.org/drawingml/2006/picture">
                      <pic:pic>
                        <pic:nvPicPr>
                          <pic:cNvPr descr="RDA%20noronha/nmds2.png" id="23" name="Picture"/>
                          <pic:cNvPicPr>
                            <a:picLocks noChangeArrowheads="1" noChangeAspect="1"/>
                          </pic:cNvPicPr>
                        </pic:nvPicPr>
                        <pic:blipFill>
                          <a:blip r:embed="rId21"/>
                          <a:stretch>
                            <a:fillRect/>
                          </a:stretch>
                        </pic:blipFill>
                        <pic:spPr bwMode="auto">
                          <a:xfrm>
                            <a:off x="0" y="0"/>
                            <a:ext cx="5334000" cy="2227920"/>
                          </a:xfrm>
                          <a:prstGeom prst="rect">
                            <a:avLst/>
                          </a:prstGeom>
                          <a:noFill/>
                          <a:ln w="9525">
                            <a:noFill/>
                            <a:headEnd/>
                            <a:tailEnd/>
                          </a:ln>
                        </pic:spPr>
                      </pic:pic>
                    </a:graphicData>
                  </a:graphic>
                </wp:inline>
              </w:drawing>
            </w:r>
          </w:p>
          <w:p>
            <w:pPr>
              <w:jc w:val="center"/>
            </w:pPr>
            <w:pPr>
              <w:jc w:val="start"/>
              <w:spacing w:before="200"/>
              <w:pStyle w:val="ImageCaption"/>
            </w:pPr>
            <w:r>
              <w:t xml:space="preserve">Figura 1: Matriz comunitária de espécies. Fonte: Lima et al. (2023)</w:t>
            </w:r>
          </w:p>
          <w:bookmarkEnd w:id="24"/>
        </w:tc>
      </w:tr>
    </w:tbl>
    <w:p>
      <w:pPr>
        <w:pStyle w:val="BodyText"/>
      </w:pPr>
      <w:r>
        <w:t xml:space="preserve"> </w:t>
      </w:r>
    </w:p>
    <w:tbl>
      <w:tblPr>
        <w:tblStyle w:val="Table"/>
        <w:tblW w:type="pct" w:w="5000"/>
        <w:tblLook w:firstRow="0" w:lastRow="0" w:firstColumn="0" w:lastColumn="0" w:noHBand="0" w:noVBand="0" w:val="0000"/>
        <w:jc w:val="start"/>
      </w:tblPr>
      <w:tblGrid>
        <w:gridCol w:w="7920"/>
      </w:tblGrid>
      <w:tr>
        <w:tc>
          <w:tcPr/>
          <w:bookmarkStart w:id="28" w:name="fig-nor"/>
          <w:p>
            <w:pPr>
              <w:jc w:val="center"/>
            </w:pPr>
            <w:r>
              <w:drawing>
                <wp:inline>
                  <wp:extent cx="5334000" cy="2693166"/>
                  <wp:effectExtent b="0" l="0" r="0" t="0"/>
                  <wp:docPr descr="" title="" id="26" name="Picture"/>
                  <a:graphic>
                    <a:graphicData uri="http://schemas.openxmlformats.org/drawingml/2006/picture">
                      <pic:pic>
                        <pic:nvPicPr>
                          <pic:cNvPr descr="RDA%20noronha/noronha1.png" id="27" name="Picture"/>
                          <pic:cNvPicPr>
                            <a:picLocks noChangeArrowheads="1" noChangeAspect="1"/>
                          </pic:cNvPicPr>
                        </pic:nvPicPr>
                        <pic:blipFill>
                          <a:blip r:embed="rId25"/>
                          <a:stretch>
                            <a:fillRect/>
                          </a:stretch>
                        </pic:blipFill>
                        <pic:spPr bwMode="auto">
                          <a:xfrm>
                            <a:off x="0" y="0"/>
                            <a:ext cx="5334000" cy="2693166"/>
                          </a:xfrm>
                          <a:prstGeom prst="rect">
                            <a:avLst/>
                          </a:prstGeom>
                          <a:noFill/>
                          <a:ln w="9525">
                            <a:noFill/>
                            <a:headEnd/>
                            <a:tailEnd/>
                          </a:ln>
                        </pic:spPr>
                      </pic:pic>
                    </a:graphicData>
                  </a:graphic>
                </wp:inline>
              </w:drawing>
            </w:r>
          </w:p>
          <w:p>
            <w:pPr>
              <w:jc w:val="center"/>
            </w:pPr>
            <w:pPr>
              <w:jc w:val="start"/>
              <w:spacing w:before="200"/>
              <w:pStyle w:val="ImageCaption"/>
            </w:pPr>
            <w:r>
              <w:t xml:space="preserve">Figura 2: Matriz de variáveis ambientais. Fonte: Lima et al. (2023)</w:t>
            </w:r>
          </w:p>
          <w:bookmarkEnd w:id="28"/>
        </w:tc>
      </w:tr>
    </w:tbl>
    <w:p>
      <w:pPr>
        <w:pStyle w:val="BodyText"/>
      </w:pPr>
      <w:r>
        <w:t xml:space="preserve">As coletas foram realizadas nas duas maiores ilhas do arquipélago (</w:t>
      </w:r>
      <w:hyperlink w:anchor="fig-mapa">
        <w:r>
          <w:rPr>
            <w:rStyle w:val="Hyperlink"/>
          </w:rPr>
          <w:t xml:space="preserve">Figura 3</w:t>
        </w:r>
      </w:hyperlink>
      <w:r>
        <w:t xml:space="preserve">), levando em consideração suas características geomorfológicas. Foram definidos três ambientes costeiros e 20 locais em cada uma das ilhas estudadas. O primeiro ambiente costeiro foi a</w:t>
      </w:r>
      <w:r>
        <w:t xml:space="preserve"> </w:t>
      </w:r>
      <w:r>
        <w:t xml:space="preserve">“</w:t>
      </w:r>
      <w:r>
        <w:t xml:space="preserve">zona intertidal sem vegetação</w:t>
      </w:r>
      <w:r>
        <w:t xml:space="preserve">”</w:t>
      </w:r>
      <w:r>
        <w:t xml:space="preserve"> </w:t>
      </w:r>
      <w:r>
        <w:t xml:space="preserve">em praias de areia (SB), com 6 locais. O segundo ambiente costeiro foi o terreno inclinado mais próximo da zona intertidal, nesse caso com vegetação, doravante denominado floresta inclinada (SF), com 7 locais. O terceiro ambiente costeiro foi a floresta distante da praia, situada em terreno mais elevado em comparação com os outros ambientes estudados. Nos referimos a essa como floresta de topo (TF), 7 locais. Foram coletadas quatro amostras de solo superficial com aproximadamente 1dm³ de cada um dos 20 locais para captura de Colêmbolos. Um total de 80 amostras (24 amostras nos locais SB, 28 em SF e 28 em TF). As amostras de solo foram coletadas aleatoriamente com uma distância mínima de 12,5 m entre elas. Os Colêmbolos foram extraídos do solo superficial usando funil de Berlese-Tullgren para SF e TF, e técnica de lavagem e extração manual de espécimes flutuantes para SB. Após a extração, os colêmbolos foram separados, contados, clarificados em KOH a 5% e lactofenol, fixados em líquido de Hoyer e posteriormente identificados até o nível taxonômico mais baixo possível.</w:t>
      </w:r>
    </w:p>
    <w:tbl>
      <w:tblPr>
        <w:tblStyle w:val="Table"/>
        <w:tblW w:type="pct" w:w="5000"/>
        <w:tblLook w:firstRow="0" w:lastRow="0" w:firstColumn="0" w:lastColumn="0" w:noHBand="0" w:noVBand="0" w:val="0000"/>
        <w:jc w:val="start"/>
      </w:tblPr>
      <w:tblGrid>
        <w:gridCol w:w="7920"/>
      </w:tblGrid>
      <w:tr>
        <w:tc>
          <w:tcPr/>
          <w:bookmarkStart w:id="32" w:name="fig-mapa"/>
          <w:p>
            <w:pPr>
              <w:jc w:val="center"/>
            </w:pPr>
            <w:r>
              <w:drawing>
                <wp:inline>
                  <wp:extent cx="5334000" cy="5539457"/>
                  <wp:effectExtent b="0" l="0" r="0" t="0"/>
                  <wp:docPr descr="" title="" id="30" name="Picture"/>
                  <a:graphic>
                    <a:graphicData uri="http://schemas.openxmlformats.org/drawingml/2006/picture">
                      <pic:pic>
                        <pic:nvPicPr>
                          <pic:cNvPr descr="RDA%20noronha/mapa.png" id="31" name="Picture"/>
                          <pic:cNvPicPr>
                            <a:picLocks noChangeArrowheads="1" noChangeAspect="1"/>
                          </pic:cNvPicPr>
                        </pic:nvPicPr>
                        <pic:blipFill>
                          <a:blip r:embed="rId29"/>
                          <a:stretch>
                            <a:fillRect/>
                          </a:stretch>
                        </pic:blipFill>
                        <pic:spPr bwMode="auto">
                          <a:xfrm>
                            <a:off x="0" y="0"/>
                            <a:ext cx="5334000" cy="5539457"/>
                          </a:xfrm>
                          <a:prstGeom prst="rect">
                            <a:avLst/>
                          </a:prstGeom>
                          <a:noFill/>
                          <a:ln w="9525">
                            <a:noFill/>
                            <a:headEnd/>
                            <a:tailEnd/>
                          </a:ln>
                        </pic:spPr>
                      </pic:pic>
                    </a:graphicData>
                  </a:graphic>
                </wp:inline>
              </w:drawing>
            </w:r>
          </w:p>
          <w:p>
            <w:pPr>
              <w:jc w:val="center"/>
            </w:pPr>
            <w:pPr>
              <w:jc w:val="start"/>
              <w:spacing w:before="200"/>
              <w:pStyle w:val="ImageCaption"/>
            </w:pPr>
            <w:r>
              <w:t xml:space="preserve">Figura 3: Área de estudo. Fonte: Lima et al. (2023)</w:t>
            </w:r>
          </w:p>
          <w:bookmarkEnd w:id="32"/>
        </w:tc>
      </w:tr>
    </w:tbl>
    <w:p>
      <w:pPr>
        <w:pStyle w:val="BodyText"/>
      </w:pPr>
      <w:r>
        <w:t xml:space="preserve">Em SF e TF, uma amostra de solo de 200g foi coletada em cada local de amostragem, para a análise de nutrientes e umidade, totalizando 56 amostras (os locais SB não foram incluídos nesta análise). As amostras de cada um dos quatro locais foram homogeneizadas (800g) e depois divididas em duas partes para análises de nutrientes (400g) e umidade (400g). As análises de nutrientes determinaram os níveis de pH em H2O e pH em KCl, P: fósforo por colorimetria extraído com mehlich 1, K: potássio em espectrofotômetro de emissão atômica com acetato de amônio, Ca e Mg: cálcio e magnésio em espectrofotômetro de absorção atômica com acetato de amônio, Al: alumínio por extração titulométrica com cloreto de potássio, H+ Al: acidez potencial por extração titulométrica com acetato de cálcio, SB: soma de bases trocáveis, CTC: capacidade de troca catiônica, V: saturação da CTC por bases, M: saturação por alumínio, CO e MO: carbono orgânico e matéria orgânica por colorimetria e titulometria em cada ponto de amostragem usando métodos padrão de análise de solo.</w:t>
      </w:r>
    </w:p>
    <w:p>
      <w:pPr>
        <w:pStyle w:val="BodyText"/>
      </w:pPr>
      <w:r>
        <w:t xml:space="preserve">Os dados de vegetação foram medidos nas áreas adjacentes a cada amostra, onde todas as árvores e arbustos com altura &gt;1,5 m em um raio de 2,5 m ao redor de cada local de amostragem de solo foram contados (número de árvores - NV) e seus diâmetros do tronco (DC) medidos a 30 cm acima do nível do solo. A profundidade da serapilheira (AS) também foi medida usando uma régua nos mesmos pontos de amostragem.</w:t>
      </w:r>
    </w:p>
    <w:p>
      <w:pPr>
        <w:pStyle w:val="SourceCode"/>
      </w:pPr>
      <w:r>
        <w:rPr>
          <w:rStyle w:val="DocumentationTok"/>
        </w:rPr>
        <w:t xml:space="preserve">#########REDUNDANCE ANALYSIS (RDA)##############</w:t>
      </w:r>
      <w:r>
        <w:br/>
      </w:r>
      <w:r>
        <w:br/>
      </w:r>
      <w:r>
        <w:rPr>
          <w:rStyle w:val="CommentTok"/>
        </w:rPr>
        <w:t xml:space="preserve">#table (nmds2) used as the species matrix for RDA</w:t>
      </w:r>
      <w:r>
        <w:br/>
      </w:r>
      <w:r>
        <w:rPr>
          <w:rStyle w:val="CommentTok"/>
        </w:rPr>
        <w:t xml:space="preserve">#table (noronha1) was used as the environmental matrix, after some partitioning</w:t>
      </w:r>
      <w:r>
        <w:br/>
      </w:r>
      <w:r>
        <w:br/>
      </w:r>
      <w:r>
        <w:rPr>
          <w:rStyle w:val="FunctionTok"/>
        </w:rPr>
        <w:t xml:space="preserve">library</w:t>
      </w:r>
      <w:r>
        <w:rPr>
          <w:rStyle w:val="NormalTok"/>
        </w:rPr>
        <w:t xml:space="preserve">(openxlsx)</w:t>
      </w:r>
      <w:r>
        <w:br/>
      </w:r>
      <w:r>
        <w:rPr>
          <w:rStyle w:val="NormalTok"/>
        </w:rPr>
        <w:t xml:space="preserve">nmds2 </w:t>
      </w:r>
      <w:r>
        <w:rPr>
          <w:rStyle w:val="OtherTok"/>
        </w:rPr>
        <w:t xml:space="preserve">&lt;-</w:t>
      </w:r>
      <w:r>
        <w:rPr>
          <w:rStyle w:val="NormalTok"/>
        </w:rPr>
        <w:t xml:space="preserve"> </w:t>
      </w:r>
      <w:r>
        <w:rPr>
          <w:rStyle w:val="FunctionTok"/>
        </w:rPr>
        <w:t xml:space="preserve">read.delim</w:t>
      </w:r>
      <w:r>
        <w:rPr>
          <w:rStyle w:val="NormalTok"/>
        </w:rPr>
        <w:t xml:space="preserve">(</w:t>
      </w:r>
      <w:r>
        <w:rPr>
          <w:rStyle w:val="StringTok"/>
        </w:rPr>
        <w:t xml:space="preserve">"D:/Elvio/OneDrive/Paralelos/R Douglas/nmds2.txt"</w:t>
      </w:r>
      <w:r>
        <w:rPr>
          <w:rStyle w:val="NormalTok"/>
        </w:rPr>
        <w:t xml:space="preserve">,</w:t>
      </w:r>
      <w:r>
        <w:br/>
      </w:r>
      <w:r>
        <w:rPr>
          <w:rStyle w:val="NormalTok"/>
        </w:rPr>
        <w:t xml:space="preserve">                  </w:t>
      </w:r>
      <w:r>
        <w:rPr>
          <w:rStyle w:val="AttributeTok"/>
        </w:rPr>
        <w:t xml:space="preserve">row.names =</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na.strings =</w:t>
      </w:r>
      <w:r>
        <w:rPr>
          <w:rStyle w:val="NormalTok"/>
        </w:rPr>
        <w:t xml:space="preserve"> </w:t>
      </w:r>
      <w:r>
        <w:rPr>
          <w:rStyle w:val="ConstantTok"/>
        </w:rPr>
        <w:t xml:space="preserve">NA</w:t>
      </w:r>
      <w:r>
        <w:rPr>
          <w:rStyle w:val="NormalTok"/>
        </w:rPr>
        <w:t xml:space="preserve">)</w:t>
      </w:r>
      <w:r>
        <w:br/>
      </w:r>
      <w:r>
        <w:rPr>
          <w:rStyle w:val="NormalTok"/>
        </w:rPr>
        <w:t xml:space="preserve">norspp </w:t>
      </w:r>
      <w:r>
        <w:rPr>
          <w:rStyle w:val="OtherTok"/>
        </w:rPr>
        <w:t xml:space="preserve">&lt;-</w:t>
      </w:r>
      <w:r>
        <w:rPr>
          <w:rStyle w:val="NormalTok"/>
        </w:rPr>
        <w:t xml:space="preserve"> nmds2</w:t>
      </w:r>
      <w:r>
        <w:br/>
      </w:r>
      <w:r>
        <w:rPr>
          <w:rStyle w:val="FunctionTok"/>
        </w:rPr>
        <w:t xml:space="preserve">colnames</w:t>
      </w:r>
      <w:r>
        <w:rPr>
          <w:rStyle w:val="NormalTok"/>
        </w:rPr>
        <w:t xml:space="preserve">(norspp) </w:t>
      </w:r>
      <w:r>
        <w:rPr>
          <w:rStyle w:val="OtherTok"/>
        </w:rPr>
        <w:t xml:space="preserve">&lt;-</w:t>
      </w:r>
      <w:r>
        <w:rPr>
          <w:rStyle w:val="NormalTok"/>
        </w:rPr>
        <w:t xml:space="preserve"> </w:t>
      </w:r>
      <w:r>
        <w:rPr>
          <w:rStyle w:val="FunctionTok"/>
        </w:rPr>
        <w:t xml:space="preserve">gsub</w:t>
      </w:r>
      <w:r>
        <w:rPr>
          <w:rStyle w:val="NormalTok"/>
        </w:rPr>
        <w:t xml:space="preserve">(</w:t>
      </w:r>
      <w:r>
        <w:rPr>
          <w:rStyle w:val="StringTok"/>
        </w:rPr>
        <w:t xml:space="preserve">"X"</w:t>
      </w:r>
      <w:r>
        <w:rPr>
          <w:rStyle w:val="NormalTok"/>
        </w:rPr>
        <w:t xml:space="preserve">, </w:t>
      </w:r>
      <w:r>
        <w:rPr>
          <w:rStyle w:val="StringTok"/>
        </w:rPr>
        <w:t xml:space="preserve">"sp_"</w:t>
      </w:r>
      <w:r>
        <w:rPr>
          <w:rStyle w:val="NormalTok"/>
        </w:rPr>
        <w:t xml:space="preserve">, </w:t>
      </w:r>
      <w:r>
        <w:rPr>
          <w:rStyle w:val="FunctionTok"/>
        </w:rPr>
        <w:t xml:space="preserve">colnames</w:t>
      </w:r>
      <w:r>
        <w:rPr>
          <w:rStyle w:val="NormalTok"/>
        </w:rPr>
        <w:t xml:space="preserve">(norspp))</w:t>
      </w:r>
      <w:r>
        <w:br/>
      </w:r>
      <w:r>
        <w:rPr>
          <w:rStyle w:val="FunctionTok"/>
        </w:rPr>
        <w:t xml:space="preserve">rownames</w:t>
      </w:r>
      <w:r>
        <w:rPr>
          <w:rStyle w:val="NormalTok"/>
        </w:rPr>
        <w:t xml:space="preserve">(norspp) </w:t>
      </w:r>
      <w:r>
        <w:rPr>
          <w:rStyle w:val="OtherTok"/>
        </w:rPr>
        <w:t xml:space="preserve">&lt;-</w:t>
      </w:r>
      <w:r>
        <w:rPr>
          <w:rStyle w:val="NormalTok"/>
        </w:rPr>
        <w:t xml:space="preserve"> </w:t>
      </w:r>
      <w:r>
        <w:rPr>
          <w:rStyle w:val="FunctionTok"/>
        </w:rPr>
        <w:t xml:space="preserve">paste0</w:t>
      </w:r>
      <w:r>
        <w:rPr>
          <w:rStyle w:val="NormalTok"/>
        </w:rPr>
        <w:t xml:space="preserve">(</w:t>
      </w:r>
      <w:r>
        <w:rPr>
          <w:rStyle w:val="StringTok"/>
        </w:rPr>
        <w:t xml:space="preserve">"trat_"</w:t>
      </w:r>
      <w:r>
        <w:rPr>
          <w:rStyle w:val="NormalTok"/>
        </w:rPr>
        <w:t xml:space="preserve">, </w:t>
      </w:r>
      <w:r>
        <w:rPr>
          <w:rStyle w:val="FunctionTok"/>
        </w:rPr>
        <w:t xml:space="preserve">rownames</w:t>
      </w:r>
      <w:r>
        <w:rPr>
          <w:rStyle w:val="NormalTok"/>
        </w:rPr>
        <w:t xml:space="preserve">(norspp))</w:t>
      </w:r>
      <w:r>
        <w:br/>
      </w:r>
      <w:r>
        <w:rPr>
          <w:rStyle w:val="NormalTok"/>
        </w:rPr>
        <w:t xml:space="preserve">norspp</w:t>
      </w:r>
      <w:r>
        <w:br/>
      </w:r>
      <w:r>
        <w:br/>
      </w:r>
      <w:r>
        <w:rPr>
          <w:rStyle w:val="CommentTok"/>
        </w:rPr>
        <w:t xml:space="preserve">#table (noronha1) used as the environmental matrix for RDA</w:t>
      </w:r>
      <w:r>
        <w:br/>
      </w:r>
      <w:r>
        <w:br/>
      </w:r>
      <w:r>
        <w:rPr>
          <w:rStyle w:val="NormalTok"/>
        </w:rPr>
        <w:t xml:space="preserve">noronha1 </w:t>
      </w:r>
      <w:r>
        <w:rPr>
          <w:rStyle w:val="OtherTok"/>
        </w:rPr>
        <w:t xml:space="preserve">&lt;-</w:t>
      </w:r>
      <w:r>
        <w:rPr>
          <w:rStyle w:val="NormalTok"/>
        </w:rPr>
        <w:t xml:space="preserve"> </w:t>
      </w:r>
      <w:r>
        <w:rPr>
          <w:rStyle w:val="FunctionTok"/>
        </w:rPr>
        <w:t xml:space="preserve">read.table</w:t>
      </w:r>
      <w:r>
        <w:rPr>
          <w:rStyle w:val="NormalTok"/>
        </w:rPr>
        <w:t xml:space="preserve">(</w:t>
      </w:r>
      <w:r>
        <w:rPr>
          <w:rStyle w:val="StringTok"/>
        </w:rPr>
        <w:t xml:space="preserve">"D:/Elvio/OneDrive/Paralelos/R Douglas/noronha1.txt"</w:t>
      </w:r>
      <w:r>
        <w:rPr>
          <w:rStyle w:val="NormalTok"/>
        </w:rPr>
        <w:t xml:space="preserve">,</w:t>
      </w:r>
      <w:r>
        <w:br/>
      </w:r>
      <w:r>
        <w:rPr>
          <w:rStyle w:val="NormalTok"/>
        </w:rPr>
        <w:t xml:space="preserve">                  </w:t>
      </w:r>
      <w:r>
        <w:rPr>
          <w:rStyle w:val="AttributeTok"/>
        </w:rPr>
        <w:t xml:space="preserve">sep=</w:t>
      </w:r>
      <w:r>
        <w:rPr>
          <w:rStyle w:val="StringTok"/>
        </w:rPr>
        <w:t xml:space="preserve">"</w:t>
      </w:r>
      <w:r>
        <w:rPr>
          <w:rStyle w:val="SpecialCharTok"/>
        </w:rPr>
        <w:t xml:space="preserve">\t</w:t>
      </w:r>
      <w:r>
        <w:rPr>
          <w:rStyle w:val="StringTok"/>
        </w:rPr>
        <w:t xml:space="preserve">"</w:t>
      </w:r>
      <w:r>
        <w:rPr>
          <w:rStyle w:val="NormalTok"/>
        </w:rPr>
        <w:t xml:space="preserve">, </w:t>
      </w:r>
      <w:r>
        <w:rPr>
          <w:rStyle w:val="AttributeTok"/>
        </w:rPr>
        <w:t xml:space="preserve">header=</w:t>
      </w:r>
      <w:r>
        <w:rPr>
          <w:rStyle w:val="NormalTok"/>
        </w:rPr>
        <w:t xml:space="preserve">T,)</w:t>
      </w:r>
      <w:r>
        <w:br/>
      </w:r>
      <w:r>
        <w:rPr>
          <w:rStyle w:val="NormalTok"/>
        </w:rPr>
        <w:t xml:space="preserve">noronha1</w:t>
      </w:r>
      <w:r>
        <w:br/>
      </w:r>
      <w:r>
        <w:br/>
      </w:r>
      <w:r>
        <w:rPr>
          <w:rStyle w:val="CommentTok"/>
        </w:rPr>
        <w:t xml:space="preserve">#partitioning matrix (noronha1)</w:t>
      </w:r>
      <w:r>
        <w:br/>
      </w:r>
      <w:r>
        <w:rPr>
          <w:rStyle w:val="FunctionTok"/>
        </w:rPr>
        <w:t xml:space="preserve">colnames</w:t>
      </w:r>
      <w:r>
        <w:rPr>
          <w:rStyle w:val="NormalTok"/>
        </w:rPr>
        <w:t xml:space="preserve">(noronha1)</w:t>
      </w:r>
      <w:r>
        <w:br/>
      </w:r>
      <w:r>
        <w:rPr>
          <w:rStyle w:val="FunctionTok"/>
        </w:rPr>
        <w:t xml:space="preserve">rownames</w:t>
      </w:r>
      <w:r>
        <w:rPr>
          <w:rStyle w:val="NormalTok"/>
        </w:rPr>
        <w:t xml:space="preserve">(noronha1)</w:t>
      </w:r>
      <w:r>
        <w:br/>
      </w:r>
      <w:r>
        <w:rPr>
          <w:rStyle w:val="NormalTok"/>
        </w:rPr>
        <w:t xml:space="preserve">norenv </w:t>
      </w:r>
      <w:r>
        <w:rPr>
          <w:rStyle w:val="OtherTok"/>
        </w:rPr>
        <w:t xml:space="preserve">&lt;-</w:t>
      </w:r>
      <w:r>
        <w:rPr>
          <w:rStyle w:val="NormalTok"/>
        </w:rPr>
        <w:t xml:space="preserve"> noronha1[</w:t>
      </w:r>
      <w:r>
        <w:rPr>
          <w:rStyle w:val="FunctionTok"/>
        </w:rPr>
        <w:t xml:space="preserve">c</w:t>
      </w:r>
      <w:r>
        <w:rPr>
          <w:rStyle w:val="NormalTok"/>
        </w:rPr>
        <w:t xml:space="preserve">(</w:t>
      </w:r>
      <w:r>
        <w:rPr>
          <w:rStyle w:val="StringTok"/>
        </w:rPr>
        <w:t xml:space="preserve">"1"</w:t>
      </w:r>
      <w:r>
        <w:rPr>
          <w:rStyle w:val="NormalTok"/>
        </w:rPr>
        <w:t xml:space="preserve">, </w:t>
      </w:r>
      <w:r>
        <w:rPr>
          <w:rStyle w:val="StringTok"/>
        </w:rPr>
        <w:t xml:space="preserve">"5"</w:t>
      </w:r>
      <w:r>
        <w:rPr>
          <w:rStyle w:val="NormalTok"/>
        </w:rPr>
        <w:t xml:space="preserve">, </w:t>
      </w:r>
      <w:r>
        <w:rPr>
          <w:rStyle w:val="StringTok"/>
        </w:rPr>
        <w:t xml:space="preserve">"9"</w:t>
      </w:r>
      <w:r>
        <w:rPr>
          <w:rStyle w:val="NormalTok"/>
        </w:rPr>
        <w:t xml:space="preserve">, </w:t>
      </w:r>
      <w:r>
        <w:rPr>
          <w:rStyle w:val="StringTok"/>
        </w:rPr>
        <w:t xml:space="preserve">"13"</w:t>
      </w:r>
      <w:r>
        <w:rPr>
          <w:rStyle w:val="NormalTok"/>
        </w:rPr>
        <w:t xml:space="preserve">, </w:t>
      </w:r>
      <w:r>
        <w:rPr>
          <w:rStyle w:val="StringTok"/>
        </w:rPr>
        <w:t xml:space="preserve">"17"</w:t>
      </w:r>
      <w:r>
        <w:rPr>
          <w:rStyle w:val="NormalTok"/>
        </w:rPr>
        <w:t xml:space="preserve">, </w:t>
      </w:r>
      <w:r>
        <w:rPr>
          <w:rStyle w:val="StringTok"/>
        </w:rPr>
        <w:t xml:space="preserve">"21"</w:t>
      </w:r>
      <w:r>
        <w:rPr>
          <w:rStyle w:val="NormalTok"/>
        </w:rPr>
        <w:t xml:space="preserve">, </w:t>
      </w:r>
      <w:r>
        <w:rPr>
          <w:rStyle w:val="StringTok"/>
        </w:rPr>
        <w:t xml:space="preserve">"25"</w:t>
      </w:r>
      <w:r>
        <w:rPr>
          <w:rStyle w:val="NormalTok"/>
        </w:rPr>
        <w:t xml:space="preserve">, </w:t>
      </w:r>
      <w:r>
        <w:rPr>
          <w:rStyle w:val="StringTok"/>
        </w:rPr>
        <w:t xml:space="preserve">"29"</w:t>
      </w:r>
      <w:r>
        <w:rPr>
          <w:rStyle w:val="NormalTok"/>
        </w:rPr>
        <w:t xml:space="preserve">, </w:t>
      </w:r>
      <w:r>
        <w:rPr>
          <w:rStyle w:val="StringTok"/>
        </w:rPr>
        <w:t xml:space="preserve">"33"</w:t>
      </w:r>
      <w:r>
        <w:rPr>
          <w:rStyle w:val="NormalTok"/>
        </w:rPr>
        <w:t xml:space="preserve">, </w:t>
      </w:r>
      <w:r>
        <w:rPr>
          <w:rStyle w:val="StringTok"/>
        </w:rPr>
        <w:t xml:space="preserve">"37"</w:t>
      </w:r>
      <w:r>
        <w:rPr>
          <w:rStyle w:val="NormalTok"/>
        </w:rPr>
        <w:t xml:space="preserve">,</w:t>
      </w:r>
      <w:r>
        <w:br/>
      </w:r>
      <w:r>
        <w:rPr>
          <w:rStyle w:val="NormalTok"/>
        </w:rPr>
        <w:t xml:space="preserve">                    </w:t>
      </w:r>
      <w:r>
        <w:rPr>
          <w:rStyle w:val="StringTok"/>
        </w:rPr>
        <w:t xml:space="preserve">"41"</w:t>
      </w:r>
      <w:r>
        <w:rPr>
          <w:rStyle w:val="NormalTok"/>
        </w:rPr>
        <w:t xml:space="preserve">, </w:t>
      </w:r>
      <w:r>
        <w:rPr>
          <w:rStyle w:val="StringTok"/>
        </w:rPr>
        <w:t xml:space="preserve">"45"</w:t>
      </w:r>
      <w:r>
        <w:rPr>
          <w:rStyle w:val="NormalTok"/>
        </w:rPr>
        <w:t xml:space="preserve">, </w:t>
      </w:r>
      <w:r>
        <w:rPr>
          <w:rStyle w:val="StringTok"/>
        </w:rPr>
        <w:t xml:space="preserve">"49"</w:t>
      </w:r>
      <w:r>
        <w:rPr>
          <w:rStyle w:val="NormalTok"/>
        </w:rPr>
        <w:t xml:space="preserve">, </w:t>
      </w:r>
      <w:r>
        <w:rPr>
          <w:rStyle w:val="StringTok"/>
        </w:rPr>
        <w:t xml:space="preserve">"53"</w:t>
      </w:r>
      <w:r>
        <w:rPr>
          <w:rStyle w:val="NormalTok"/>
        </w:rPr>
        <w:t xml:space="preserve">), </w:t>
      </w:r>
      <w:r>
        <w:rPr>
          <w:rStyle w:val="FunctionTok"/>
        </w:rPr>
        <w:t xml:space="preserve">c</w:t>
      </w:r>
      <w:r>
        <w:rPr>
          <w:rStyle w:val="NormalTok"/>
        </w:rPr>
        <w:t xml:space="preserve">(</w:t>
      </w:r>
      <w:r>
        <w:rPr>
          <w:rStyle w:val="StringTok"/>
        </w:rPr>
        <w:t xml:space="preserve">"species"</w:t>
      </w:r>
      <w:r>
        <w:rPr>
          <w:rStyle w:val="NormalTok"/>
        </w:rPr>
        <w:t xml:space="preserve">, </w:t>
      </w:r>
      <w:r>
        <w:rPr>
          <w:rStyle w:val="StringTok"/>
        </w:rPr>
        <w:t xml:space="preserve">"ph_h2o"</w:t>
      </w:r>
      <w:r>
        <w:rPr>
          <w:rStyle w:val="NormalTok"/>
        </w:rPr>
        <w:t xml:space="preserve">, </w:t>
      </w:r>
      <w:r>
        <w:rPr>
          <w:rStyle w:val="StringTok"/>
        </w:rPr>
        <w:t xml:space="preserve">"ph_kcl"</w:t>
      </w:r>
      <w:r>
        <w:rPr>
          <w:rStyle w:val="NormalTok"/>
        </w:rPr>
        <w:t xml:space="preserve">,</w:t>
      </w:r>
      <w:r>
        <w:br/>
      </w:r>
      <w:r>
        <w:rPr>
          <w:rStyle w:val="NormalTok"/>
        </w:rPr>
        <w:t xml:space="preserve">                    </w:t>
      </w:r>
      <w:r>
        <w:rPr>
          <w:rStyle w:val="StringTok"/>
        </w:rPr>
        <w:t xml:space="preserve">"P"</w:t>
      </w:r>
      <w:r>
        <w:rPr>
          <w:rStyle w:val="NormalTok"/>
        </w:rPr>
        <w:t xml:space="preserve">, </w:t>
      </w:r>
      <w:r>
        <w:rPr>
          <w:rStyle w:val="StringTok"/>
        </w:rPr>
        <w:t xml:space="preserve">"K"</w:t>
      </w:r>
      <w:r>
        <w:rPr>
          <w:rStyle w:val="NormalTok"/>
        </w:rPr>
        <w:t xml:space="preserve">, </w:t>
      </w:r>
      <w:r>
        <w:rPr>
          <w:rStyle w:val="StringTok"/>
        </w:rPr>
        <w:t xml:space="preserve">"CA"</w:t>
      </w:r>
      <w:r>
        <w:rPr>
          <w:rStyle w:val="NormalTok"/>
        </w:rPr>
        <w:t xml:space="preserve">, </w:t>
      </w:r>
      <w:r>
        <w:rPr>
          <w:rStyle w:val="StringTok"/>
        </w:rPr>
        <w:t xml:space="preserve">"MG"</w:t>
      </w:r>
      <w:r>
        <w:rPr>
          <w:rStyle w:val="NormalTok"/>
        </w:rPr>
        <w:t xml:space="preserve">, </w:t>
      </w:r>
      <w:r>
        <w:rPr>
          <w:rStyle w:val="StringTok"/>
        </w:rPr>
        <w:t xml:space="preserve">"AL"</w:t>
      </w:r>
      <w:r>
        <w:rPr>
          <w:rStyle w:val="NormalTok"/>
        </w:rPr>
        <w:t xml:space="preserve">, </w:t>
      </w:r>
      <w:r>
        <w:rPr>
          <w:rStyle w:val="StringTok"/>
        </w:rPr>
        <w:t xml:space="preserve">"HplusAl"</w:t>
      </w:r>
      <w:r>
        <w:rPr>
          <w:rStyle w:val="NormalTok"/>
        </w:rPr>
        <w:t xml:space="preserve">, </w:t>
      </w:r>
      <w:r>
        <w:rPr>
          <w:rStyle w:val="StringTok"/>
        </w:rPr>
        <w:t xml:space="preserve">"SB"</w:t>
      </w:r>
      <w:r>
        <w:rPr>
          <w:rStyle w:val="NormalTok"/>
        </w:rPr>
        <w:t xml:space="preserve">, </w:t>
      </w:r>
      <w:r>
        <w:rPr>
          <w:rStyle w:val="StringTok"/>
        </w:rPr>
        <w:t xml:space="preserve">"CTC"</w:t>
      </w:r>
      <w:r>
        <w:rPr>
          <w:rStyle w:val="NormalTok"/>
        </w:rPr>
        <w:t xml:space="preserve">, </w:t>
      </w:r>
      <w:r>
        <w:rPr>
          <w:rStyle w:val="StringTok"/>
        </w:rPr>
        <w:t xml:space="preserve">"V"</w:t>
      </w:r>
      <w:r>
        <w:rPr>
          <w:rStyle w:val="NormalTok"/>
        </w:rPr>
        <w:t xml:space="preserve">,</w:t>
      </w:r>
      <w:r>
        <w:br/>
      </w:r>
      <w:r>
        <w:rPr>
          <w:rStyle w:val="NormalTok"/>
        </w:rPr>
        <w:t xml:space="preserve">                    </w:t>
      </w:r>
      <w:r>
        <w:rPr>
          <w:rStyle w:val="StringTok"/>
        </w:rPr>
        <w:t xml:space="preserve">"M"</w:t>
      </w:r>
      <w:r>
        <w:rPr>
          <w:rStyle w:val="NormalTok"/>
        </w:rPr>
        <w:t xml:space="preserve">, </w:t>
      </w:r>
      <w:r>
        <w:rPr>
          <w:rStyle w:val="StringTok"/>
        </w:rPr>
        <w:t xml:space="preserve">"CO"</w:t>
      </w:r>
      <w:r>
        <w:rPr>
          <w:rStyle w:val="NormalTok"/>
        </w:rPr>
        <w:t xml:space="preserve">, </w:t>
      </w:r>
      <w:r>
        <w:rPr>
          <w:rStyle w:val="StringTok"/>
        </w:rPr>
        <w:t xml:space="preserve">"MO"</w:t>
      </w:r>
      <w:r>
        <w:rPr>
          <w:rStyle w:val="NormalTok"/>
        </w:rPr>
        <w:t xml:space="preserve">, </w:t>
      </w:r>
      <w:r>
        <w:rPr>
          <w:rStyle w:val="StringTok"/>
        </w:rPr>
        <w:t xml:space="preserve">"densarv"</w:t>
      </w:r>
      <w:r>
        <w:rPr>
          <w:rStyle w:val="NormalTok"/>
        </w:rPr>
        <w:t xml:space="preserve">, </w:t>
      </w:r>
      <w:r>
        <w:rPr>
          <w:rStyle w:val="StringTok"/>
        </w:rPr>
        <w:t xml:space="preserve">"dbh"</w:t>
      </w:r>
      <w:r>
        <w:rPr>
          <w:rStyle w:val="NormalTok"/>
        </w:rPr>
        <w:t xml:space="preserve">, </w:t>
      </w:r>
      <w:r>
        <w:rPr>
          <w:rStyle w:val="StringTok"/>
        </w:rPr>
        <w:t xml:space="preserve">"alt_serrap"</w:t>
      </w:r>
      <w:r>
        <w:rPr>
          <w:rStyle w:val="NormalTok"/>
        </w:rPr>
        <w:t xml:space="preserve">, </w:t>
      </w:r>
      <w:r>
        <w:rPr>
          <w:rStyle w:val="StringTok"/>
        </w:rPr>
        <w:t xml:space="preserve">"UMIDADE"</w:t>
      </w:r>
      <w:r>
        <w:rPr>
          <w:rStyle w:val="NormalTok"/>
        </w:rPr>
        <w:t xml:space="preserve"> )] </w:t>
      </w:r>
      <w:r>
        <w:br/>
      </w:r>
      <w:r>
        <w:rPr>
          <w:rStyle w:val="FunctionTok"/>
        </w:rPr>
        <w:t xml:space="preserve">rownames</w:t>
      </w:r>
      <w:r>
        <w:rPr>
          <w:rStyle w:val="NormalTok"/>
        </w:rPr>
        <w:t xml:space="preserve">(norenv) </w:t>
      </w:r>
      <w:r>
        <w:rPr>
          <w:rStyle w:val="OtherTok"/>
        </w:rPr>
        <w:t xml:space="preserve">&lt;-</w:t>
      </w:r>
      <w:r>
        <w:rPr>
          <w:rStyle w:val="NormalTok"/>
        </w:rPr>
        <w:t xml:space="preserve"> norenv[,</w:t>
      </w:r>
      <w:r>
        <w:rPr>
          <w:rStyle w:val="DecValTok"/>
        </w:rPr>
        <w:t xml:space="preserve">1</w:t>
      </w:r>
      <w:r>
        <w:rPr>
          <w:rStyle w:val="NormalTok"/>
        </w:rPr>
        <w:t xml:space="preserve">]</w:t>
      </w:r>
      <w:r>
        <w:br/>
      </w:r>
      <w:r>
        <w:rPr>
          <w:rStyle w:val="NormalTok"/>
        </w:rPr>
        <w:t xml:space="preserve">norenv </w:t>
      </w:r>
      <w:r>
        <w:rPr>
          <w:rStyle w:val="OtherTok"/>
        </w:rPr>
        <w:t xml:space="preserve">&lt;-</w:t>
      </w:r>
      <w:r>
        <w:rPr>
          <w:rStyle w:val="NormalTok"/>
        </w:rPr>
        <w:t xml:space="preserve"> norenv[,</w:t>
      </w:r>
      <w:r>
        <w:rPr>
          <w:rStyle w:val="SpecialCharTok"/>
        </w:rPr>
        <w:t xml:space="preserve">-</w:t>
      </w:r>
      <w:r>
        <w:rPr>
          <w:rStyle w:val="DecValTok"/>
        </w:rPr>
        <w:t xml:space="preserve">1</w:t>
      </w:r>
      <w:r>
        <w:rPr>
          <w:rStyle w:val="NormalTok"/>
        </w:rPr>
        <w:t xml:space="preserve">]</w:t>
      </w:r>
      <w:r>
        <w:br/>
      </w:r>
      <w:r>
        <w:br/>
      </w:r>
      <w:r>
        <w:rPr>
          <w:rStyle w:val="CommentTok"/>
        </w:rPr>
        <w:t xml:space="preserve">#removing multicollinear variables from norenv</w:t>
      </w:r>
      <w:r>
        <w:br/>
      </w:r>
      <w:r>
        <w:br/>
      </w:r>
      <w:r>
        <w:rPr>
          <w:rStyle w:val="NormalTok"/>
        </w:rPr>
        <w:t xml:space="preserve">norenvcorr </w:t>
      </w:r>
      <w:r>
        <w:rPr>
          <w:rStyle w:val="OtherTok"/>
        </w:rPr>
        <w:t xml:space="preserve">&lt;-</w:t>
      </w:r>
      <w:r>
        <w:rPr>
          <w:rStyle w:val="NormalTok"/>
        </w:rPr>
        <w:t xml:space="preserve"> </w:t>
      </w:r>
      <w:r>
        <w:rPr>
          <w:rStyle w:val="FunctionTok"/>
        </w:rPr>
        <w:t xml:space="preserve">cor</w:t>
      </w:r>
      <w:r>
        <w:rPr>
          <w:rStyle w:val="NormalTok"/>
        </w:rPr>
        <w:t xml:space="preserve">(norenv)</w:t>
      </w:r>
      <w:r>
        <w:br/>
      </w:r>
      <w:r>
        <w:rPr>
          <w:rStyle w:val="FunctionTok"/>
        </w:rPr>
        <w:t xml:space="preserve">plot</w:t>
      </w:r>
      <w:r>
        <w:rPr>
          <w:rStyle w:val="NormalTok"/>
        </w:rPr>
        <w:t xml:space="preserve">(norenv)</w:t>
      </w:r>
      <w:r>
        <w:br/>
      </w:r>
      <w:r>
        <w:br/>
      </w:r>
      <w:r>
        <w:rPr>
          <w:rStyle w:val="CommentTok"/>
        </w:rPr>
        <w:t xml:space="preserve">#install.packages("corrplot")</w:t>
      </w:r>
      <w:r>
        <w:br/>
      </w:r>
      <w:r>
        <w:rPr>
          <w:rStyle w:val="FunctionTok"/>
        </w:rPr>
        <w:t xml:space="preserve">library</w:t>
      </w:r>
      <w:r>
        <w:rPr>
          <w:rStyle w:val="NormalTok"/>
        </w:rPr>
        <w:t xml:space="preserve">(</w:t>
      </w:r>
      <w:r>
        <w:rPr>
          <w:rStyle w:val="StringTok"/>
        </w:rPr>
        <w:t xml:space="preserve">"corrplot"</w:t>
      </w:r>
      <w:r>
        <w:rPr>
          <w:rStyle w:val="NormalTok"/>
        </w:rPr>
        <w:t xml:space="preserve">)</w:t>
      </w:r>
      <w:r>
        <w:br/>
      </w:r>
      <w:r>
        <w:rPr>
          <w:rStyle w:val="FunctionTok"/>
        </w:rPr>
        <w:t xml:space="preserve">source</w:t>
      </w:r>
      <w:r>
        <w:rPr>
          <w:rStyle w:val="NormalTok"/>
        </w:rPr>
        <w:t xml:space="preserve">(</w:t>
      </w:r>
      <w:r>
        <w:rPr>
          <w:rStyle w:val="StringTok"/>
        </w:rPr>
        <w:t xml:space="preserve">"http://www.sthda.com/upload/rquery_cormat.r"</w:t>
      </w:r>
      <w:r>
        <w:rPr>
          <w:rStyle w:val="NormalTok"/>
        </w:rPr>
        <w:t xml:space="preserve">)</w:t>
      </w:r>
      <w:r>
        <w:br/>
      </w:r>
      <w:r>
        <w:rPr>
          <w:rStyle w:val="CommentTok"/>
        </w:rPr>
        <w:t xml:space="preserve">#install.packages("caret")</w:t>
      </w:r>
      <w:r>
        <w:br/>
      </w:r>
      <w:r>
        <w:rPr>
          <w:rStyle w:val="FunctionTok"/>
        </w:rPr>
        <w:t xml:space="preserve">library</w:t>
      </w:r>
      <w:r>
        <w:rPr>
          <w:rStyle w:val="NormalTok"/>
        </w:rPr>
        <w:t xml:space="preserve">(</w:t>
      </w:r>
      <w:r>
        <w:rPr>
          <w:rStyle w:val="StringTok"/>
        </w:rPr>
        <w:t xml:space="preserve">"caret"</w:t>
      </w:r>
      <w:r>
        <w:rPr>
          <w:rStyle w:val="NormalTok"/>
        </w:rPr>
        <w:t xml:space="preserve">)</w:t>
      </w:r>
    </w:p>
    <w:p>
      <w:pPr>
        <w:pStyle w:val="FirstParagraph"/>
      </w:pPr>
      <w:r>
        <w:drawing>
          <wp:inline>
            <wp:extent cx="4620126" cy="3696101"/>
            <wp:effectExtent b="0" l="0" r="0" t="0"/>
            <wp:docPr descr="" title="" id="34" name="Picture"/>
            <a:graphic>
              <a:graphicData uri="http://schemas.openxmlformats.org/drawingml/2006/picture">
                <pic:pic>
                  <pic:nvPicPr>
                    <pic:cNvPr descr="rda_nor_files/figure-docx/unnamed-chunk-1-1.png" id="35" name="Picture"/>
                    <pic:cNvPicPr>
                      <a:picLocks noChangeArrowheads="1" noChangeAspect="1"/>
                    </pic:cNvPicPr>
                  </pic:nvPicPr>
                  <pic:blipFill>
                    <a:blip r:embed="rId33"/>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FunctionTok"/>
        </w:rPr>
        <w:t xml:space="preserve">library</w:t>
      </w:r>
      <w:r>
        <w:rPr>
          <w:rStyle w:val="NormalTok"/>
        </w:rPr>
        <w:t xml:space="preserve">(</w:t>
      </w:r>
      <w:r>
        <w:rPr>
          <w:rStyle w:val="StringTok"/>
        </w:rPr>
        <w:t xml:space="preserve">"vegan"</w:t>
      </w:r>
      <w:r>
        <w:rPr>
          <w:rStyle w:val="NormalTok"/>
        </w:rPr>
        <w:t xml:space="preserve">)</w:t>
      </w:r>
      <w:r>
        <w:br/>
      </w:r>
      <w:r>
        <w:br/>
      </w:r>
      <w:r>
        <w:rPr>
          <w:rStyle w:val="FunctionTok"/>
        </w:rPr>
        <w:t xml:space="preserve">rquery.cormat</w:t>
      </w:r>
      <w:r>
        <w:rPr>
          <w:rStyle w:val="NormalTok"/>
        </w:rPr>
        <w:t xml:space="preserve">(norenv)</w:t>
      </w:r>
    </w:p>
    <w:p>
      <w:pPr>
        <w:pStyle w:val="FirstParagraph"/>
      </w:pPr>
      <w:r>
        <w:drawing>
          <wp:inline>
            <wp:extent cx="4620126" cy="3696101"/>
            <wp:effectExtent b="0" l="0" r="0" t="0"/>
            <wp:docPr descr="" title="" id="37" name="Picture"/>
            <a:graphic>
              <a:graphicData uri="http://schemas.openxmlformats.org/drawingml/2006/picture">
                <pic:pic>
                  <pic:nvPicPr>
                    <pic:cNvPr descr="rda_nor_files/figure-docx/unnamed-chunk-1-2.png" id="38" name="Picture"/>
                    <pic:cNvPicPr>
                      <a:picLocks noChangeArrowheads="1" noChangeAspect="1"/>
                    </pic:cNvPicPr>
                  </pic:nvPicPr>
                  <pic:blipFill>
                    <a:blip r:embed="rId36"/>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NormalTok"/>
        </w:rPr>
        <w:t xml:space="preserve">highcorr </w:t>
      </w:r>
      <w:r>
        <w:rPr>
          <w:rStyle w:val="OtherTok"/>
        </w:rPr>
        <w:t xml:space="preserve">&lt;-</w:t>
      </w:r>
      <w:r>
        <w:rPr>
          <w:rStyle w:val="NormalTok"/>
        </w:rPr>
        <w:t xml:space="preserve"> </w:t>
      </w:r>
      <w:r>
        <w:rPr>
          <w:rStyle w:val="FunctionTok"/>
        </w:rPr>
        <w:t xml:space="preserve">findCorrelation</w:t>
      </w:r>
      <w:r>
        <w:rPr>
          <w:rStyle w:val="NormalTok"/>
        </w:rPr>
        <w:t xml:space="preserve">(norenvcorr, </w:t>
      </w:r>
      <w:r>
        <w:rPr>
          <w:rStyle w:val="AttributeTok"/>
        </w:rPr>
        <w:t xml:space="preserve">cutoff=</w:t>
      </w:r>
      <w:r>
        <w:rPr>
          <w:rStyle w:val="FloatTok"/>
        </w:rPr>
        <w:t xml:space="preserve">0.6</w:t>
      </w:r>
      <w:r>
        <w:rPr>
          <w:rStyle w:val="NormalTok"/>
        </w:rPr>
        <w:t xml:space="preserve">, </w:t>
      </w:r>
      <w:r>
        <w:rPr>
          <w:rStyle w:val="AttributeTok"/>
        </w:rPr>
        <w:t xml:space="preserve">names =</w:t>
      </w:r>
      <w:r>
        <w:rPr>
          <w:rStyle w:val="NormalTok"/>
        </w:rPr>
        <w:t xml:space="preserve"> T)</w:t>
      </w:r>
      <w:r>
        <w:br/>
      </w:r>
      <w:r>
        <w:rPr>
          <w:rStyle w:val="NormalTok"/>
        </w:rPr>
        <w:t xml:space="preserve">highcorr </w:t>
      </w:r>
      <w:r>
        <w:rPr>
          <w:rStyle w:val="CommentTok"/>
        </w:rPr>
        <w:t xml:space="preserve">#lists variables highly correlated (&gt;60%)</w:t>
      </w:r>
      <w:r>
        <w:br/>
      </w:r>
      <w:r>
        <w:br/>
      </w:r>
      <w:r>
        <w:rPr>
          <w:rStyle w:val="NormalTok"/>
        </w:rPr>
        <w:t xml:space="preserve">norenv2 </w:t>
      </w:r>
      <w:r>
        <w:rPr>
          <w:rStyle w:val="OtherTok"/>
        </w:rPr>
        <w:t xml:space="preserve">&lt;-</w:t>
      </w:r>
      <w:r>
        <w:rPr>
          <w:rStyle w:val="NormalTok"/>
        </w:rPr>
        <w:t xml:space="preserve"> </w:t>
      </w:r>
      <w:r>
        <w:rPr>
          <w:rStyle w:val="FunctionTok"/>
        </w:rPr>
        <w:t xml:space="preserve">subset</w:t>
      </w:r>
      <w:r>
        <w:rPr>
          <w:rStyle w:val="NormalTok"/>
        </w:rPr>
        <w:t xml:space="preserve">(norenv, </w:t>
      </w:r>
      <w:r>
        <w:rPr>
          <w:rStyle w:val="AttributeTok"/>
        </w:rPr>
        <w:t xml:space="preserve">select =</w:t>
      </w:r>
      <w:r>
        <w:rPr>
          <w:rStyle w:val="NormalTok"/>
        </w:rPr>
        <w:t xml:space="preserve"> </w:t>
      </w:r>
      <w:r>
        <w:rPr>
          <w:rStyle w:val="SpecialCharTok"/>
        </w:rPr>
        <w:t xml:space="preserve">-</w:t>
      </w:r>
      <w:r>
        <w:rPr>
          <w:rStyle w:val="FunctionTok"/>
        </w:rPr>
        <w:t xml:space="preserve">c</w:t>
      </w:r>
      <w:r>
        <w:rPr>
          <w:rStyle w:val="NormalTok"/>
        </w:rPr>
        <w:t xml:space="preserve">(V, HplusAl, ph_h2o, ph_kcl, </w:t>
      </w:r>
      <w:r>
        <w:br/>
      </w:r>
      <w:r>
        <w:rPr>
          <w:rStyle w:val="NormalTok"/>
        </w:rPr>
        <w:t xml:space="preserve">                                    CA, SB, densarv, AL, P, CO))</w:t>
      </w:r>
      <w:r>
        <w:br/>
      </w:r>
      <w:r>
        <w:br/>
      </w:r>
      <w:r>
        <w:rPr>
          <w:rStyle w:val="CommentTok"/>
        </w:rPr>
        <w:t xml:space="preserve">#conducting the RDA on norspp x norenv2</w:t>
      </w:r>
      <w:r>
        <w:br/>
      </w:r>
      <w:r>
        <w:br/>
      </w:r>
      <w:r>
        <w:rPr>
          <w:rStyle w:val="NormalTok"/>
        </w:rPr>
        <w:t xml:space="preserve">norrda </w:t>
      </w:r>
      <w:r>
        <w:rPr>
          <w:rStyle w:val="OtherTok"/>
        </w:rPr>
        <w:t xml:space="preserve">&lt;-</w:t>
      </w:r>
      <w:r>
        <w:rPr>
          <w:rStyle w:val="NormalTok"/>
        </w:rPr>
        <w:t xml:space="preserve"> </w:t>
      </w:r>
      <w:r>
        <w:rPr>
          <w:rStyle w:val="FunctionTok"/>
        </w:rPr>
        <w:t xml:space="preserve">rda</w:t>
      </w:r>
      <w:r>
        <w:rPr>
          <w:rStyle w:val="NormalTok"/>
        </w:rPr>
        <w:t xml:space="preserve">(norspp </w:t>
      </w:r>
      <w:r>
        <w:rPr>
          <w:rStyle w:val="SpecialCharTok"/>
        </w:rPr>
        <w:t xml:space="preserve">~</w:t>
      </w:r>
      <w:r>
        <w:rPr>
          <w:rStyle w:val="NormalTok"/>
        </w:rPr>
        <w:t xml:space="preserve">. , </w:t>
      </w:r>
      <w:r>
        <w:rPr>
          <w:rStyle w:val="AttributeTok"/>
        </w:rPr>
        <w:t xml:space="preserve">data=</w:t>
      </w:r>
      <w:r>
        <w:rPr>
          <w:rStyle w:val="NormalTok"/>
        </w:rPr>
        <w:t xml:space="preserve">norenv2, </w:t>
      </w:r>
      <w:r>
        <w:rPr>
          <w:rStyle w:val="AttributeTok"/>
        </w:rPr>
        <w:t xml:space="preserve">scale=</w:t>
      </w:r>
      <w:r>
        <w:rPr>
          <w:rStyle w:val="NormalTok"/>
        </w:rPr>
        <w:t xml:space="preserve">T)</w:t>
      </w:r>
      <w:r>
        <w:br/>
      </w:r>
      <w:r>
        <w:rPr>
          <w:rStyle w:val="FunctionTok"/>
        </w:rPr>
        <w:t xml:space="preserve">summary</w:t>
      </w:r>
      <w:r>
        <w:rPr>
          <w:rStyle w:val="NormalTok"/>
        </w:rPr>
        <w:t xml:space="preserve">(norrda)</w:t>
      </w:r>
      <w:r>
        <w:br/>
      </w:r>
      <w:r>
        <w:rPr>
          <w:rStyle w:val="CommentTok"/>
        </w:rPr>
        <w:t xml:space="preserve">#remove rare species? transform species matrix</w:t>
      </w:r>
      <w:r>
        <w:br/>
      </w:r>
      <w:r>
        <w:rPr>
          <w:rStyle w:val="CommentTok"/>
        </w:rPr>
        <w:t xml:space="preserve">#Add or replace some of the environ variables removed?</w:t>
      </w:r>
      <w:r>
        <w:br/>
      </w:r>
      <w:r>
        <w:rPr>
          <w:rStyle w:val="CommentTok"/>
        </w:rPr>
        <w:t xml:space="preserve">#norspp_hell &lt;- decostand(norspp, "hellinger")</w:t>
      </w:r>
      <w:r>
        <w:br/>
      </w:r>
      <w:r>
        <w:br/>
      </w:r>
      <w:r>
        <w:rPr>
          <w:rStyle w:val="FunctionTok"/>
        </w:rPr>
        <w:t xml:space="preserve">coef</w:t>
      </w:r>
      <w:r>
        <w:rPr>
          <w:rStyle w:val="NormalTok"/>
        </w:rPr>
        <w:t xml:space="preserve">(norrda) </w:t>
      </w:r>
      <w:r>
        <w:rPr>
          <w:rStyle w:val="CommentTok"/>
        </w:rPr>
        <w:t xml:space="preserve">#extracts canonical coefs.</w:t>
      </w:r>
      <w:r>
        <w:br/>
      </w:r>
      <w:r>
        <w:br/>
      </w:r>
      <w:r>
        <w:rPr>
          <w:rStyle w:val="FunctionTok"/>
        </w:rPr>
        <w:t xml:space="preserve">set.seed</w:t>
      </w:r>
      <w:r>
        <w:rPr>
          <w:rStyle w:val="NormalTok"/>
        </w:rPr>
        <w:t xml:space="preserve">(</w:t>
      </w:r>
      <w:r>
        <w:rPr>
          <w:rStyle w:val="DecValTok"/>
        </w:rPr>
        <w:t xml:space="preserve">666</w:t>
      </w:r>
      <w:r>
        <w:rPr>
          <w:rStyle w:val="NormalTok"/>
        </w:rPr>
        <w:t xml:space="preserve">)</w:t>
      </w:r>
      <w:r>
        <w:br/>
      </w:r>
      <w:r>
        <w:rPr>
          <w:rStyle w:val="FunctionTok"/>
        </w:rPr>
        <w:t xml:space="preserve">anova.cca</w:t>
      </w:r>
      <w:r>
        <w:rPr>
          <w:rStyle w:val="NormalTok"/>
        </w:rPr>
        <w:t xml:space="preserve">(norrda, </w:t>
      </w:r>
      <w:r>
        <w:rPr>
          <w:rStyle w:val="AttributeTok"/>
        </w:rPr>
        <w:t xml:space="preserve">step=</w:t>
      </w:r>
      <w:r>
        <w:rPr>
          <w:rStyle w:val="DecValTok"/>
        </w:rPr>
        <w:t xml:space="preserve">999</w:t>
      </w:r>
      <w:r>
        <w:rPr>
          <w:rStyle w:val="NormalTok"/>
        </w:rPr>
        <w:t xml:space="preserve">) </w:t>
      </w:r>
      <w:r>
        <w:rPr>
          <w:rStyle w:val="CommentTok"/>
        </w:rPr>
        <w:t xml:space="preserve">#tests sig. of RDA results</w:t>
      </w:r>
      <w:r>
        <w:br/>
      </w:r>
      <w:r>
        <w:rPr>
          <w:rStyle w:val="CommentTok"/>
        </w:rPr>
        <w:t xml:space="preserve">#not significant p=0.8</w:t>
      </w:r>
      <w:r>
        <w:br/>
      </w:r>
      <w:r>
        <w:rPr>
          <w:rStyle w:val="FunctionTok"/>
        </w:rPr>
        <w:t xml:space="preserve">anova.cca</w:t>
      </w:r>
      <w:r>
        <w:rPr>
          <w:rStyle w:val="NormalTok"/>
        </w:rPr>
        <w:t xml:space="preserve">(norrda, </w:t>
      </w:r>
      <w:r>
        <w:rPr>
          <w:rStyle w:val="AttributeTok"/>
        </w:rPr>
        <w:t xml:space="preserve">by=</w:t>
      </w:r>
      <w:r>
        <w:rPr>
          <w:rStyle w:val="StringTok"/>
        </w:rPr>
        <w:t xml:space="preserve">"axis"</w:t>
      </w:r>
      <w:r>
        <w:rPr>
          <w:rStyle w:val="NormalTok"/>
        </w:rPr>
        <w:t xml:space="preserve">, </w:t>
      </w:r>
      <w:r>
        <w:rPr>
          <w:rStyle w:val="AttributeTok"/>
        </w:rPr>
        <w:t xml:space="preserve">step=</w:t>
      </w:r>
      <w:r>
        <w:rPr>
          <w:rStyle w:val="DecValTok"/>
        </w:rPr>
        <w:t xml:space="preserve">999</w:t>
      </w:r>
      <w:r>
        <w:rPr>
          <w:rStyle w:val="NormalTok"/>
        </w:rPr>
        <w:t xml:space="preserve">) </w:t>
      </w:r>
      <w:r>
        <w:rPr>
          <w:rStyle w:val="CommentTok"/>
        </w:rPr>
        <w:t xml:space="preserve">#sig.tests for RDA axes</w:t>
      </w:r>
      <w:r>
        <w:br/>
      </w:r>
      <w:r>
        <w:br/>
      </w:r>
      <w:r>
        <w:rPr>
          <w:rStyle w:val="CommentTok"/>
        </w:rPr>
        <w:t xml:space="preserve">#plotting data scaling - wa scores</w:t>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plot</w:t>
      </w:r>
      <w:r>
        <w:rPr>
          <w:rStyle w:val="NormalTok"/>
        </w:rPr>
        <w:t xml:space="preserve">(norrda, </w:t>
      </w:r>
      <w:r>
        <w:rPr>
          <w:rStyle w:val="AttributeTok"/>
        </w:rPr>
        <w:t xml:space="preserve">scaling=</w:t>
      </w:r>
      <w:r>
        <w:rPr>
          <w:rStyle w:val="DecValTok"/>
        </w:rPr>
        <w:t xml:space="preserve">1</w:t>
      </w:r>
      <w:r>
        <w:rPr>
          <w:rStyle w:val="NormalTok"/>
        </w:rPr>
        <w:t xml:space="preserve">, </w:t>
      </w:r>
      <w:r>
        <w:rPr>
          <w:rStyle w:val="AttributeTok"/>
        </w:rPr>
        <w:t xml:space="preserve">main=</w:t>
      </w:r>
      <w:r>
        <w:rPr>
          <w:rStyle w:val="StringTok"/>
        </w:rPr>
        <w:t xml:space="preserve">"Triplot RDA scaling 1"</w:t>
      </w:r>
      <w:r>
        <w:rPr>
          <w:rStyle w:val="NormalTok"/>
        </w:rPr>
        <w:t xml:space="preserve">)</w:t>
      </w:r>
      <w:r>
        <w:br/>
      </w:r>
      <w:r>
        <w:rPr>
          <w:rStyle w:val="NormalTok"/>
        </w:rPr>
        <w:t xml:space="preserve">var.sc </w:t>
      </w:r>
      <w:r>
        <w:rPr>
          <w:rStyle w:val="OtherTok"/>
        </w:rPr>
        <w:t xml:space="preserve">&lt;-</w:t>
      </w:r>
      <w:r>
        <w:rPr>
          <w:rStyle w:val="NormalTok"/>
        </w:rPr>
        <w:t xml:space="preserve"> </w:t>
      </w:r>
      <w:r>
        <w:rPr>
          <w:rStyle w:val="FunctionTok"/>
        </w:rPr>
        <w:t xml:space="preserve">scores</w:t>
      </w:r>
      <w:r>
        <w:rPr>
          <w:rStyle w:val="NormalTok"/>
        </w:rPr>
        <w:t xml:space="preserve">(norrda, </w:t>
      </w:r>
      <w:r>
        <w:rPr>
          <w:rStyle w:val="AttributeTok"/>
        </w:rPr>
        <w:t xml:space="preserve">choices=</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scalling=</w:t>
      </w:r>
      <w:r>
        <w:rPr>
          <w:rStyle w:val="DecValTok"/>
        </w:rPr>
        <w:t xml:space="preserve">1</w:t>
      </w:r>
      <w:r>
        <w:rPr>
          <w:rStyle w:val="NormalTok"/>
        </w:rPr>
        <w:t xml:space="preserve">, </w:t>
      </w:r>
      <w:r>
        <w:rPr>
          <w:rStyle w:val="AttributeTok"/>
        </w:rPr>
        <w:t xml:space="preserve">display=</w:t>
      </w:r>
      <w:r>
        <w:rPr>
          <w:rStyle w:val="StringTok"/>
        </w:rPr>
        <w:t xml:space="preserve">"sp"</w:t>
      </w:r>
      <w:r>
        <w:rPr>
          <w:rStyle w:val="NormalTok"/>
        </w:rPr>
        <w:t xml:space="preserve">)</w:t>
      </w:r>
      <w:r>
        <w:br/>
      </w:r>
      <w:r>
        <w:rPr>
          <w:rStyle w:val="FunctionTok"/>
        </w:rPr>
        <w:t xml:space="preserve">arrows</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var.sc[, </w:t>
      </w:r>
      <w:r>
        <w:rPr>
          <w:rStyle w:val="DecValTok"/>
        </w:rPr>
        <w:t xml:space="preserve">1</w:t>
      </w:r>
      <w:r>
        <w:rPr>
          <w:rStyle w:val="NormalTok"/>
        </w:rPr>
        <w:t xml:space="preserve">], var.sc[, </w:t>
      </w:r>
      <w:r>
        <w:rPr>
          <w:rStyle w:val="DecValTok"/>
        </w:rPr>
        <w:t xml:space="preserve">2</w:t>
      </w:r>
      <w:r>
        <w:rPr>
          <w:rStyle w:val="NormalTok"/>
        </w:rPr>
        <w:t xml:space="preserve">], </w:t>
      </w:r>
      <w:r>
        <w:rPr>
          <w:rStyle w:val="AttributeTok"/>
        </w:rPr>
        <w:t xml:space="preserve">length=</w:t>
      </w:r>
      <w:r>
        <w:rPr>
          <w:rStyle w:val="DecValTok"/>
        </w:rPr>
        <w:t xml:space="preserve">0</w:t>
      </w:r>
      <w:r>
        <w:rPr>
          <w:rStyle w:val="NormalTok"/>
        </w:rPr>
        <w:t xml:space="preserve">, </w:t>
      </w:r>
      <w:r>
        <w:rPr>
          <w:rStyle w:val="AttributeTok"/>
        </w:rPr>
        <w:t xml:space="preserve">lty=</w:t>
      </w:r>
      <w:r>
        <w:rPr>
          <w:rStyle w:val="DecValTok"/>
        </w:rPr>
        <w:t xml:space="preserve">1</w:t>
      </w:r>
      <w:r>
        <w:rPr>
          <w:rStyle w:val="NormalTok"/>
        </w:rPr>
        <w:t xml:space="preserve">, </w:t>
      </w:r>
      <w:r>
        <w:rPr>
          <w:rStyle w:val="AttributeTok"/>
        </w:rPr>
        <w:t xml:space="preserve">col=</w:t>
      </w:r>
      <w:r>
        <w:rPr>
          <w:rStyle w:val="StringTok"/>
        </w:rPr>
        <w:t xml:space="preserve">"red"</w:t>
      </w:r>
      <w:r>
        <w:rPr>
          <w:rStyle w:val="NormalTok"/>
        </w:rPr>
        <w:t xml:space="preserve">)</w:t>
      </w:r>
      <w:r>
        <w:br/>
      </w:r>
      <w:r>
        <w:br/>
      </w:r>
      <w:r>
        <w:rPr>
          <w:rStyle w:val="FunctionTok"/>
        </w:rPr>
        <w:t xml:space="preserve">plot</w:t>
      </w:r>
      <w:r>
        <w:rPr>
          <w:rStyle w:val="NormalTok"/>
        </w:rPr>
        <w:t xml:space="preserve">(norrda, </w:t>
      </w:r>
      <w:r>
        <w:rPr>
          <w:rStyle w:val="AttributeTok"/>
        </w:rPr>
        <w:t xml:space="preserve">main=</w:t>
      </w:r>
      <w:r>
        <w:rPr>
          <w:rStyle w:val="StringTok"/>
        </w:rPr>
        <w:t xml:space="preserve">"Triplot RDA scaling 2"</w:t>
      </w:r>
      <w:r>
        <w:rPr>
          <w:rStyle w:val="NormalTok"/>
        </w:rPr>
        <w:t xml:space="preserve">)</w:t>
      </w:r>
      <w:r>
        <w:br/>
      </w:r>
      <w:r>
        <w:rPr>
          <w:rStyle w:val="NormalTok"/>
        </w:rPr>
        <w:t xml:space="preserve">var2.sc </w:t>
      </w:r>
      <w:r>
        <w:rPr>
          <w:rStyle w:val="OtherTok"/>
        </w:rPr>
        <w:t xml:space="preserve">&lt;-</w:t>
      </w:r>
      <w:r>
        <w:rPr>
          <w:rStyle w:val="NormalTok"/>
        </w:rPr>
        <w:t xml:space="preserve"> </w:t>
      </w:r>
      <w:r>
        <w:rPr>
          <w:rStyle w:val="FunctionTok"/>
        </w:rPr>
        <w:t xml:space="preserve">scores</w:t>
      </w:r>
      <w:r>
        <w:rPr>
          <w:rStyle w:val="NormalTok"/>
        </w:rPr>
        <w:t xml:space="preserve">(norrda, </w:t>
      </w:r>
      <w:r>
        <w:rPr>
          <w:rStyle w:val="AttributeTok"/>
        </w:rPr>
        <w:t xml:space="preserve">choices=</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display=</w:t>
      </w:r>
      <w:r>
        <w:rPr>
          <w:rStyle w:val="StringTok"/>
        </w:rPr>
        <w:t xml:space="preserve">"sp"</w:t>
      </w:r>
      <w:r>
        <w:rPr>
          <w:rStyle w:val="NormalTok"/>
        </w:rPr>
        <w:t xml:space="preserve">)</w:t>
      </w:r>
      <w:r>
        <w:br/>
      </w:r>
      <w:r>
        <w:rPr>
          <w:rStyle w:val="FunctionTok"/>
        </w:rPr>
        <w:t xml:space="preserve">arrows</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var2.sc[, </w:t>
      </w:r>
      <w:r>
        <w:rPr>
          <w:rStyle w:val="DecValTok"/>
        </w:rPr>
        <w:t xml:space="preserve">1</w:t>
      </w:r>
      <w:r>
        <w:rPr>
          <w:rStyle w:val="NormalTok"/>
        </w:rPr>
        <w:t xml:space="preserve">], var2.sc[, </w:t>
      </w:r>
      <w:r>
        <w:rPr>
          <w:rStyle w:val="DecValTok"/>
        </w:rPr>
        <w:t xml:space="preserve">2</w:t>
      </w:r>
      <w:r>
        <w:rPr>
          <w:rStyle w:val="NormalTok"/>
        </w:rPr>
        <w:t xml:space="preserve">], </w:t>
      </w:r>
      <w:r>
        <w:rPr>
          <w:rStyle w:val="AttributeTok"/>
        </w:rPr>
        <w:t xml:space="preserve">length=</w:t>
      </w:r>
      <w:r>
        <w:rPr>
          <w:rStyle w:val="DecValTok"/>
        </w:rPr>
        <w:t xml:space="preserve">0</w:t>
      </w:r>
      <w:r>
        <w:rPr>
          <w:rStyle w:val="NormalTok"/>
        </w:rPr>
        <w:t xml:space="preserve">, </w:t>
      </w:r>
      <w:r>
        <w:rPr>
          <w:rStyle w:val="AttributeTok"/>
        </w:rPr>
        <w:t xml:space="preserve">lty=</w:t>
      </w:r>
      <w:r>
        <w:rPr>
          <w:rStyle w:val="DecValTok"/>
        </w:rPr>
        <w:t xml:space="preserve">1</w:t>
      </w:r>
      <w:r>
        <w:rPr>
          <w:rStyle w:val="NormalTok"/>
        </w:rPr>
        <w:t xml:space="preserve">, </w:t>
      </w:r>
      <w:r>
        <w:rPr>
          <w:rStyle w:val="AttributeTok"/>
        </w:rPr>
        <w:t xml:space="preserve">col=</w:t>
      </w:r>
      <w:r>
        <w:rPr>
          <w:rStyle w:val="StringTok"/>
        </w:rPr>
        <w:t xml:space="preserve">"red"</w:t>
      </w:r>
      <w:r>
        <w:rPr>
          <w:rStyle w:val="NormalTok"/>
        </w:rPr>
        <w:t xml:space="preserve">)</w:t>
      </w:r>
    </w:p>
    <w:p>
      <w:pPr>
        <w:pStyle w:val="FirstParagraph"/>
      </w:pPr>
      <w:r>
        <w:drawing>
          <wp:inline>
            <wp:extent cx="4620126" cy="3696101"/>
            <wp:effectExtent b="0" l="0" r="0" t="0"/>
            <wp:docPr descr="" title="" id="40" name="Picture"/>
            <a:graphic>
              <a:graphicData uri="http://schemas.openxmlformats.org/drawingml/2006/picture">
                <pic:pic>
                  <pic:nvPicPr>
                    <pic:cNvPr descr="rda_nor_files/figure-docx/unnamed-chunk-1-3.png" id="41" name="Picture"/>
                    <pic:cNvPicPr>
                      <a:picLocks noChangeArrowheads="1" noChangeAspect="1"/>
                    </pic:cNvPicPr>
                  </pic:nvPicPr>
                  <pic:blipFill>
                    <a:blip r:embed="rId39"/>
                    <a:stretch>
                      <a:fillRect/>
                    </a:stretch>
                  </pic:blipFill>
                  <pic:spPr bwMode="auto">
                    <a:xfrm>
                      <a:off x="0" y="0"/>
                      <a:ext cx="4620126" cy="3696101"/>
                    </a:xfrm>
                    <a:prstGeom prst="rect">
                      <a:avLst/>
                    </a:prstGeom>
                    <a:noFill/>
                    <a:ln w="9525">
                      <a:noFill/>
                      <a:headEnd/>
                      <a:tailEnd/>
                    </a:ln>
                  </pic:spPr>
                </pic:pic>
              </a:graphicData>
            </a:graphic>
          </wp:inline>
        </w:drawing>
      </w:r>
    </w:p>
    <w:p>
      <w:pPr>
        <w:pStyle w:val="SourceCode"/>
      </w:pPr>
      <w:r>
        <w:rPr>
          <w:rStyle w:val="DocumentationTok"/>
        </w:rPr>
        <w:t xml:space="preserve">####COMMUNITY MATRIX hellinger TRANSFORMED</w:t>
      </w:r>
      <w:r>
        <w:br/>
      </w:r>
      <w:r>
        <w:br/>
      </w:r>
      <w:r>
        <w:rPr>
          <w:rStyle w:val="NormalTok"/>
        </w:rPr>
        <w:t xml:space="preserve">norspp_hell </w:t>
      </w:r>
      <w:r>
        <w:rPr>
          <w:rStyle w:val="OtherTok"/>
        </w:rPr>
        <w:t xml:space="preserve">&lt;-</w:t>
      </w:r>
      <w:r>
        <w:rPr>
          <w:rStyle w:val="NormalTok"/>
        </w:rPr>
        <w:t xml:space="preserve"> </w:t>
      </w:r>
      <w:r>
        <w:rPr>
          <w:rStyle w:val="FunctionTok"/>
        </w:rPr>
        <w:t xml:space="preserve">decostand</w:t>
      </w:r>
      <w:r>
        <w:rPr>
          <w:rStyle w:val="NormalTok"/>
        </w:rPr>
        <w:t xml:space="preserve">(norspp, </w:t>
      </w:r>
      <w:r>
        <w:rPr>
          <w:rStyle w:val="StringTok"/>
        </w:rPr>
        <w:t xml:space="preserve">"hellinger"</w:t>
      </w:r>
      <w:r>
        <w:rPr>
          <w:rStyle w:val="NormalTok"/>
        </w:rPr>
        <w:t xml:space="preserve">)</w:t>
      </w:r>
      <w:r>
        <w:br/>
      </w:r>
      <w:r>
        <w:br/>
      </w:r>
      <w:r>
        <w:rPr>
          <w:rStyle w:val="NormalTok"/>
        </w:rPr>
        <w:t xml:space="preserve">norrda </w:t>
      </w:r>
      <w:r>
        <w:rPr>
          <w:rStyle w:val="OtherTok"/>
        </w:rPr>
        <w:t xml:space="preserve">&lt;-</w:t>
      </w:r>
      <w:r>
        <w:rPr>
          <w:rStyle w:val="NormalTok"/>
        </w:rPr>
        <w:t xml:space="preserve"> </w:t>
      </w:r>
      <w:r>
        <w:rPr>
          <w:rStyle w:val="FunctionTok"/>
        </w:rPr>
        <w:t xml:space="preserve">rda</w:t>
      </w:r>
      <w:r>
        <w:rPr>
          <w:rStyle w:val="NormalTok"/>
        </w:rPr>
        <w:t xml:space="preserve">(norspp_hell </w:t>
      </w:r>
      <w:r>
        <w:rPr>
          <w:rStyle w:val="SpecialCharTok"/>
        </w:rPr>
        <w:t xml:space="preserve">~</w:t>
      </w:r>
      <w:r>
        <w:rPr>
          <w:rStyle w:val="NormalTok"/>
        </w:rPr>
        <w:t xml:space="preserve">. , </w:t>
      </w:r>
      <w:r>
        <w:rPr>
          <w:rStyle w:val="AttributeTok"/>
        </w:rPr>
        <w:t xml:space="preserve">data=</w:t>
      </w:r>
      <w:r>
        <w:rPr>
          <w:rStyle w:val="NormalTok"/>
        </w:rPr>
        <w:t xml:space="preserve">norenv2, </w:t>
      </w:r>
      <w:r>
        <w:rPr>
          <w:rStyle w:val="AttributeTok"/>
        </w:rPr>
        <w:t xml:space="preserve">scale=</w:t>
      </w:r>
      <w:r>
        <w:rPr>
          <w:rStyle w:val="NormalTok"/>
        </w:rPr>
        <w:t xml:space="preserve">T)</w:t>
      </w:r>
      <w:r>
        <w:br/>
      </w:r>
      <w:r>
        <w:rPr>
          <w:rStyle w:val="FunctionTok"/>
        </w:rPr>
        <w:t xml:space="preserve">summary</w:t>
      </w:r>
      <w:r>
        <w:rPr>
          <w:rStyle w:val="NormalTok"/>
        </w:rPr>
        <w:t xml:space="preserve">(norrda)</w:t>
      </w:r>
      <w:r>
        <w:br/>
      </w:r>
      <w:r>
        <w:rPr>
          <w:rStyle w:val="CommentTok"/>
        </w:rPr>
        <w:t xml:space="preserve">#remove rare species? transform species matrix</w:t>
      </w:r>
      <w:r>
        <w:br/>
      </w:r>
      <w:r>
        <w:rPr>
          <w:rStyle w:val="CommentTok"/>
        </w:rPr>
        <w:t xml:space="preserve">#Add or replace some of the environ variables removed?</w:t>
      </w:r>
      <w:r>
        <w:br/>
      </w:r>
      <w:r>
        <w:rPr>
          <w:rStyle w:val="CommentTok"/>
        </w:rPr>
        <w:t xml:space="preserve">#norspp_hell &lt;- decostand(norspp, "hellinger")</w:t>
      </w:r>
      <w:r>
        <w:br/>
      </w:r>
      <w:r>
        <w:br/>
      </w:r>
      <w:r>
        <w:rPr>
          <w:rStyle w:val="FunctionTok"/>
        </w:rPr>
        <w:t xml:space="preserve">coef</w:t>
      </w:r>
      <w:r>
        <w:rPr>
          <w:rStyle w:val="NormalTok"/>
        </w:rPr>
        <w:t xml:space="preserve">(norrda) </w:t>
      </w:r>
      <w:r>
        <w:rPr>
          <w:rStyle w:val="CommentTok"/>
        </w:rPr>
        <w:t xml:space="preserve">#extracts canonical coefs.</w:t>
      </w:r>
      <w:r>
        <w:br/>
      </w:r>
      <w:r>
        <w:br/>
      </w:r>
      <w:r>
        <w:rPr>
          <w:rStyle w:val="FunctionTok"/>
        </w:rPr>
        <w:t xml:space="preserve">set.seed</w:t>
      </w:r>
      <w:r>
        <w:rPr>
          <w:rStyle w:val="NormalTok"/>
        </w:rPr>
        <w:t xml:space="preserve">(</w:t>
      </w:r>
      <w:r>
        <w:rPr>
          <w:rStyle w:val="DecValTok"/>
        </w:rPr>
        <w:t xml:space="preserve">666</w:t>
      </w:r>
      <w:r>
        <w:rPr>
          <w:rStyle w:val="NormalTok"/>
        </w:rPr>
        <w:t xml:space="preserve">)</w:t>
      </w:r>
      <w:r>
        <w:br/>
      </w:r>
      <w:r>
        <w:rPr>
          <w:rStyle w:val="FunctionTok"/>
        </w:rPr>
        <w:t xml:space="preserve">anova.cca</w:t>
      </w:r>
      <w:r>
        <w:rPr>
          <w:rStyle w:val="NormalTok"/>
        </w:rPr>
        <w:t xml:space="preserve">(norrda, </w:t>
      </w:r>
      <w:r>
        <w:rPr>
          <w:rStyle w:val="AttributeTok"/>
        </w:rPr>
        <w:t xml:space="preserve">step=</w:t>
      </w:r>
      <w:r>
        <w:rPr>
          <w:rStyle w:val="DecValTok"/>
        </w:rPr>
        <w:t xml:space="preserve">999</w:t>
      </w:r>
      <w:r>
        <w:rPr>
          <w:rStyle w:val="NormalTok"/>
        </w:rPr>
        <w:t xml:space="preserve">) </w:t>
      </w:r>
      <w:r>
        <w:rPr>
          <w:rStyle w:val="CommentTok"/>
        </w:rPr>
        <w:t xml:space="preserve">#tests sig. of RDA results</w:t>
      </w:r>
      <w:r>
        <w:br/>
      </w:r>
      <w:r>
        <w:rPr>
          <w:rStyle w:val="CommentTok"/>
        </w:rPr>
        <w:t xml:space="preserve">#not significant p=0.8</w:t>
      </w:r>
      <w:r>
        <w:br/>
      </w:r>
      <w:r>
        <w:rPr>
          <w:rStyle w:val="FunctionTok"/>
        </w:rPr>
        <w:t xml:space="preserve">anova.cca</w:t>
      </w:r>
      <w:r>
        <w:rPr>
          <w:rStyle w:val="NormalTok"/>
        </w:rPr>
        <w:t xml:space="preserve">(norrda, </w:t>
      </w:r>
      <w:r>
        <w:rPr>
          <w:rStyle w:val="AttributeTok"/>
        </w:rPr>
        <w:t xml:space="preserve">by=</w:t>
      </w:r>
      <w:r>
        <w:rPr>
          <w:rStyle w:val="StringTok"/>
        </w:rPr>
        <w:t xml:space="preserve">"axis"</w:t>
      </w:r>
      <w:r>
        <w:rPr>
          <w:rStyle w:val="NormalTok"/>
        </w:rPr>
        <w:t xml:space="preserve">, </w:t>
      </w:r>
      <w:r>
        <w:rPr>
          <w:rStyle w:val="AttributeTok"/>
        </w:rPr>
        <w:t xml:space="preserve">step=</w:t>
      </w:r>
      <w:r>
        <w:rPr>
          <w:rStyle w:val="DecValTok"/>
        </w:rPr>
        <w:t xml:space="preserve">999</w:t>
      </w:r>
      <w:r>
        <w:rPr>
          <w:rStyle w:val="NormalTok"/>
        </w:rPr>
        <w:t xml:space="preserve">) </w:t>
      </w:r>
      <w:r>
        <w:rPr>
          <w:rStyle w:val="CommentTok"/>
        </w:rPr>
        <w:t xml:space="preserve">#sig.tests for RDA axes</w:t>
      </w:r>
      <w:r>
        <w:br/>
      </w:r>
      <w:r>
        <w:br/>
      </w:r>
      <w:r>
        <w:rPr>
          <w:rStyle w:val="CommentTok"/>
        </w:rPr>
        <w:t xml:space="preserve">#plotting data scaling - wa scores</w:t>
      </w:r>
      <w:r>
        <w:br/>
      </w:r>
      <w:r>
        <w:rPr>
          <w:rStyle w:val="FunctionTok"/>
        </w:rPr>
        <w:t xml:space="preserve">par</w:t>
      </w:r>
      <w:r>
        <w:rPr>
          <w:rStyle w:val="NormalTok"/>
        </w:rPr>
        <w:t xml:space="preserve">(</w:t>
      </w:r>
      <w:r>
        <w:rPr>
          <w:rStyle w:val="AttributeTok"/>
        </w:rPr>
        <w:t xml:space="preserve">mfrow=</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2</w:t>
      </w:r>
      <w:r>
        <w:rPr>
          <w:rStyle w:val="NormalTok"/>
        </w:rPr>
        <w:t xml:space="preserve">))</w:t>
      </w:r>
      <w:r>
        <w:br/>
      </w:r>
      <w:r>
        <w:rPr>
          <w:rStyle w:val="FunctionTok"/>
        </w:rPr>
        <w:t xml:space="preserve">plot</w:t>
      </w:r>
      <w:r>
        <w:rPr>
          <w:rStyle w:val="NormalTok"/>
        </w:rPr>
        <w:t xml:space="preserve">(norrda, </w:t>
      </w:r>
      <w:r>
        <w:rPr>
          <w:rStyle w:val="AttributeTok"/>
        </w:rPr>
        <w:t xml:space="preserve">scaling=</w:t>
      </w:r>
      <w:r>
        <w:rPr>
          <w:rStyle w:val="DecValTok"/>
        </w:rPr>
        <w:t xml:space="preserve">1</w:t>
      </w:r>
      <w:r>
        <w:rPr>
          <w:rStyle w:val="NormalTok"/>
        </w:rPr>
        <w:t xml:space="preserve">, </w:t>
      </w:r>
      <w:r>
        <w:rPr>
          <w:rStyle w:val="AttributeTok"/>
        </w:rPr>
        <w:t xml:space="preserve">main=</w:t>
      </w:r>
      <w:r>
        <w:rPr>
          <w:rStyle w:val="StringTok"/>
        </w:rPr>
        <w:t xml:space="preserve">"Triplot RDA scaling 1"</w:t>
      </w:r>
      <w:r>
        <w:rPr>
          <w:rStyle w:val="NormalTok"/>
        </w:rPr>
        <w:t xml:space="preserve">)</w:t>
      </w:r>
      <w:r>
        <w:br/>
      </w:r>
      <w:r>
        <w:rPr>
          <w:rStyle w:val="NormalTok"/>
        </w:rPr>
        <w:t xml:space="preserve">var.sc </w:t>
      </w:r>
      <w:r>
        <w:rPr>
          <w:rStyle w:val="OtherTok"/>
        </w:rPr>
        <w:t xml:space="preserve">&lt;-</w:t>
      </w:r>
      <w:r>
        <w:rPr>
          <w:rStyle w:val="NormalTok"/>
        </w:rPr>
        <w:t xml:space="preserve"> </w:t>
      </w:r>
      <w:r>
        <w:rPr>
          <w:rStyle w:val="FunctionTok"/>
        </w:rPr>
        <w:t xml:space="preserve">scores</w:t>
      </w:r>
      <w:r>
        <w:rPr>
          <w:rStyle w:val="NormalTok"/>
        </w:rPr>
        <w:t xml:space="preserve">(norrda, </w:t>
      </w:r>
      <w:r>
        <w:rPr>
          <w:rStyle w:val="AttributeTok"/>
        </w:rPr>
        <w:t xml:space="preserve">choices=</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scalling=</w:t>
      </w:r>
      <w:r>
        <w:rPr>
          <w:rStyle w:val="DecValTok"/>
        </w:rPr>
        <w:t xml:space="preserve">1</w:t>
      </w:r>
      <w:r>
        <w:rPr>
          <w:rStyle w:val="NormalTok"/>
        </w:rPr>
        <w:t xml:space="preserve">, </w:t>
      </w:r>
      <w:r>
        <w:rPr>
          <w:rStyle w:val="AttributeTok"/>
        </w:rPr>
        <w:t xml:space="preserve">display=</w:t>
      </w:r>
      <w:r>
        <w:rPr>
          <w:rStyle w:val="StringTok"/>
        </w:rPr>
        <w:t xml:space="preserve">"sp"</w:t>
      </w:r>
      <w:r>
        <w:rPr>
          <w:rStyle w:val="NormalTok"/>
        </w:rPr>
        <w:t xml:space="preserve">)</w:t>
      </w:r>
      <w:r>
        <w:br/>
      </w:r>
      <w:r>
        <w:rPr>
          <w:rStyle w:val="FunctionTok"/>
        </w:rPr>
        <w:t xml:space="preserve">arrows</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var.sc[, </w:t>
      </w:r>
      <w:r>
        <w:rPr>
          <w:rStyle w:val="DecValTok"/>
        </w:rPr>
        <w:t xml:space="preserve">1</w:t>
      </w:r>
      <w:r>
        <w:rPr>
          <w:rStyle w:val="NormalTok"/>
        </w:rPr>
        <w:t xml:space="preserve">], var.sc[, </w:t>
      </w:r>
      <w:r>
        <w:rPr>
          <w:rStyle w:val="DecValTok"/>
        </w:rPr>
        <w:t xml:space="preserve">2</w:t>
      </w:r>
      <w:r>
        <w:rPr>
          <w:rStyle w:val="NormalTok"/>
        </w:rPr>
        <w:t xml:space="preserve">], </w:t>
      </w:r>
      <w:r>
        <w:rPr>
          <w:rStyle w:val="AttributeTok"/>
        </w:rPr>
        <w:t xml:space="preserve">length=</w:t>
      </w:r>
      <w:r>
        <w:rPr>
          <w:rStyle w:val="DecValTok"/>
        </w:rPr>
        <w:t xml:space="preserve">0</w:t>
      </w:r>
      <w:r>
        <w:rPr>
          <w:rStyle w:val="NormalTok"/>
        </w:rPr>
        <w:t xml:space="preserve">, </w:t>
      </w:r>
      <w:r>
        <w:rPr>
          <w:rStyle w:val="AttributeTok"/>
        </w:rPr>
        <w:t xml:space="preserve">lty=</w:t>
      </w:r>
      <w:r>
        <w:rPr>
          <w:rStyle w:val="DecValTok"/>
        </w:rPr>
        <w:t xml:space="preserve">1</w:t>
      </w:r>
      <w:r>
        <w:rPr>
          <w:rStyle w:val="NormalTok"/>
        </w:rPr>
        <w:t xml:space="preserve">, </w:t>
      </w:r>
      <w:r>
        <w:rPr>
          <w:rStyle w:val="AttributeTok"/>
        </w:rPr>
        <w:t xml:space="preserve">col=</w:t>
      </w:r>
      <w:r>
        <w:rPr>
          <w:rStyle w:val="StringTok"/>
        </w:rPr>
        <w:t xml:space="preserve">"red"</w:t>
      </w:r>
      <w:r>
        <w:rPr>
          <w:rStyle w:val="NormalTok"/>
        </w:rPr>
        <w:t xml:space="preserve">)</w:t>
      </w:r>
      <w:r>
        <w:br/>
      </w:r>
      <w:r>
        <w:br/>
      </w:r>
      <w:r>
        <w:rPr>
          <w:rStyle w:val="FunctionTok"/>
        </w:rPr>
        <w:t xml:space="preserve">plot</w:t>
      </w:r>
      <w:r>
        <w:rPr>
          <w:rStyle w:val="NormalTok"/>
        </w:rPr>
        <w:t xml:space="preserve">(norrda, </w:t>
      </w:r>
      <w:r>
        <w:rPr>
          <w:rStyle w:val="AttributeTok"/>
        </w:rPr>
        <w:t xml:space="preserve">main=</w:t>
      </w:r>
      <w:r>
        <w:rPr>
          <w:rStyle w:val="StringTok"/>
        </w:rPr>
        <w:t xml:space="preserve">"Triplot RDA scaling 2"</w:t>
      </w:r>
      <w:r>
        <w:rPr>
          <w:rStyle w:val="NormalTok"/>
        </w:rPr>
        <w:t xml:space="preserve">)</w:t>
      </w:r>
      <w:r>
        <w:br/>
      </w:r>
      <w:r>
        <w:rPr>
          <w:rStyle w:val="NormalTok"/>
        </w:rPr>
        <w:t xml:space="preserve">var2.sc </w:t>
      </w:r>
      <w:r>
        <w:rPr>
          <w:rStyle w:val="OtherTok"/>
        </w:rPr>
        <w:t xml:space="preserve">&lt;-</w:t>
      </w:r>
      <w:r>
        <w:rPr>
          <w:rStyle w:val="NormalTok"/>
        </w:rPr>
        <w:t xml:space="preserve"> </w:t>
      </w:r>
      <w:r>
        <w:rPr>
          <w:rStyle w:val="FunctionTok"/>
        </w:rPr>
        <w:t xml:space="preserve">scores</w:t>
      </w:r>
      <w:r>
        <w:rPr>
          <w:rStyle w:val="NormalTok"/>
        </w:rPr>
        <w:t xml:space="preserve">(norrda, </w:t>
      </w:r>
      <w:r>
        <w:rPr>
          <w:rStyle w:val="AttributeTok"/>
        </w:rPr>
        <w:t xml:space="preserve">choices=</w:t>
      </w:r>
      <w:r>
        <w:rPr>
          <w:rStyle w:val="DecValTok"/>
        </w:rPr>
        <w:t xml:space="preserve">1</w:t>
      </w:r>
      <w:r>
        <w:rPr>
          <w:rStyle w:val="SpecialCharTok"/>
        </w:rPr>
        <w:t xml:space="preserve">:</w:t>
      </w:r>
      <w:r>
        <w:rPr>
          <w:rStyle w:val="DecValTok"/>
        </w:rPr>
        <w:t xml:space="preserve">2</w:t>
      </w:r>
      <w:r>
        <w:rPr>
          <w:rStyle w:val="NormalTok"/>
        </w:rPr>
        <w:t xml:space="preserve">, </w:t>
      </w:r>
      <w:r>
        <w:rPr>
          <w:rStyle w:val="AttributeTok"/>
        </w:rPr>
        <w:t xml:space="preserve">display=</w:t>
      </w:r>
      <w:r>
        <w:rPr>
          <w:rStyle w:val="StringTok"/>
        </w:rPr>
        <w:t xml:space="preserve">"sp"</w:t>
      </w:r>
      <w:r>
        <w:rPr>
          <w:rStyle w:val="NormalTok"/>
        </w:rPr>
        <w:t xml:space="preserve">)</w:t>
      </w:r>
      <w:r>
        <w:br/>
      </w:r>
      <w:r>
        <w:rPr>
          <w:rStyle w:val="FunctionTok"/>
        </w:rPr>
        <w:t xml:space="preserve">arrows</w:t>
      </w:r>
      <w:r>
        <w:rPr>
          <w:rStyle w:val="NormalTok"/>
        </w:rPr>
        <w:t xml:space="preserve">(</w:t>
      </w:r>
      <w:r>
        <w:rPr>
          <w:rStyle w:val="DecValTok"/>
        </w:rPr>
        <w:t xml:space="preserve">0</w:t>
      </w:r>
      <w:r>
        <w:rPr>
          <w:rStyle w:val="NormalTok"/>
        </w:rPr>
        <w:t xml:space="preserve">,</w:t>
      </w:r>
      <w:r>
        <w:rPr>
          <w:rStyle w:val="DecValTok"/>
        </w:rPr>
        <w:t xml:space="preserve">0</w:t>
      </w:r>
      <w:r>
        <w:rPr>
          <w:rStyle w:val="NormalTok"/>
        </w:rPr>
        <w:t xml:space="preserve">, var2.sc[, </w:t>
      </w:r>
      <w:r>
        <w:rPr>
          <w:rStyle w:val="DecValTok"/>
        </w:rPr>
        <w:t xml:space="preserve">1</w:t>
      </w:r>
      <w:r>
        <w:rPr>
          <w:rStyle w:val="NormalTok"/>
        </w:rPr>
        <w:t xml:space="preserve">], var2.sc[, </w:t>
      </w:r>
      <w:r>
        <w:rPr>
          <w:rStyle w:val="DecValTok"/>
        </w:rPr>
        <w:t xml:space="preserve">2</w:t>
      </w:r>
      <w:r>
        <w:rPr>
          <w:rStyle w:val="NormalTok"/>
        </w:rPr>
        <w:t xml:space="preserve">], </w:t>
      </w:r>
      <w:r>
        <w:rPr>
          <w:rStyle w:val="AttributeTok"/>
        </w:rPr>
        <w:t xml:space="preserve">length=</w:t>
      </w:r>
      <w:r>
        <w:rPr>
          <w:rStyle w:val="DecValTok"/>
        </w:rPr>
        <w:t xml:space="preserve">0</w:t>
      </w:r>
      <w:r>
        <w:rPr>
          <w:rStyle w:val="NormalTok"/>
        </w:rPr>
        <w:t xml:space="preserve">, </w:t>
      </w:r>
      <w:r>
        <w:rPr>
          <w:rStyle w:val="AttributeTok"/>
        </w:rPr>
        <w:t xml:space="preserve">lty=</w:t>
      </w:r>
      <w:r>
        <w:rPr>
          <w:rStyle w:val="DecValTok"/>
        </w:rPr>
        <w:t xml:space="preserve">1</w:t>
      </w:r>
      <w:r>
        <w:rPr>
          <w:rStyle w:val="NormalTok"/>
        </w:rPr>
        <w:t xml:space="preserve">, </w:t>
      </w:r>
      <w:r>
        <w:rPr>
          <w:rStyle w:val="AttributeTok"/>
        </w:rPr>
        <w:t xml:space="preserve">col=</w:t>
      </w:r>
      <w:r>
        <w:rPr>
          <w:rStyle w:val="StringTok"/>
        </w:rPr>
        <w:t xml:space="preserve">"red"</w:t>
      </w:r>
      <w:r>
        <w:rPr>
          <w:rStyle w:val="NormalTok"/>
        </w:rPr>
        <w:t xml:space="preserve">)</w:t>
      </w:r>
    </w:p>
    <w:p>
      <w:pPr>
        <w:pStyle w:val="FirstParagraph"/>
      </w:pPr>
      <w:r>
        <w:drawing>
          <wp:inline>
            <wp:extent cx="4620126" cy="3696101"/>
            <wp:effectExtent b="0" l="0" r="0" t="0"/>
            <wp:docPr descr="" title="" id="43" name="Picture"/>
            <a:graphic>
              <a:graphicData uri="http://schemas.openxmlformats.org/drawingml/2006/picture">
                <pic:pic>
                  <pic:nvPicPr>
                    <pic:cNvPr descr="rda_nor_files/figure-docx/unnamed-chunk-1-4.png" id="44" name="Picture"/>
                    <pic:cNvPicPr>
                      <a:picLocks noChangeArrowheads="1" noChangeAspect="1"/>
                    </pic:cNvPicPr>
                  </pic:nvPicPr>
                  <pic:blipFill>
                    <a:blip r:embed="rId42"/>
                    <a:stretch>
                      <a:fillRect/>
                    </a:stretch>
                  </pic:blipFill>
                  <pic:spPr bwMode="auto">
                    <a:xfrm>
                      <a:off x="0" y="0"/>
                      <a:ext cx="4620126" cy="3696101"/>
                    </a:xfrm>
                    <a:prstGeom prst="rect">
                      <a:avLst/>
                    </a:prstGeom>
                    <a:noFill/>
                    <a:ln w="9525">
                      <a:noFill/>
                      <a:headEnd/>
                      <a:tailEnd/>
                    </a:ln>
                  </pic:spPr>
                </pic:pic>
              </a:graphicData>
            </a:graphic>
          </wp:inline>
        </w:drawing>
      </w:r>
    </w:p>
    <w:bookmarkEnd w:id="45"/>
    <w:bookmarkStart w:id="59" w:name="referências"/>
    <w:p>
      <w:pPr>
        <w:pStyle w:val="Heading1"/>
      </w:pPr>
      <w:r>
        <w:t xml:space="preserve">2. Referências</w:t>
      </w:r>
    </w:p>
    <w:bookmarkStart w:id="58" w:name="refs"/>
    <w:bookmarkStart w:id="47" w:name="ref-RN1992"/>
    <w:p>
      <w:pPr>
        <w:pStyle w:val="Bibliography"/>
      </w:pPr>
      <w:r>
        <w:t xml:space="preserve">Blanchet, F. G., P. Legendre, J. A. C. Bergeron, e F. He. 2014.</w:t>
      </w:r>
      <w:r>
        <w:t xml:space="preserve"> </w:t>
      </w:r>
      <w:hyperlink r:id="rId46">
        <w:r>
          <w:rPr>
            <w:rStyle w:val="Hyperlink"/>
          </w:rPr>
          <w:t xml:space="preserve">Consensus RDA across dissimilarity coefficients for canonical ordination of community composition data</w:t>
        </w:r>
      </w:hyperlink>
      <w:r>
        <w:t xml:space="preserve">. Ecological Monographs 84:491–511.</w:t>
      </w:r>
    </w:p>
    <w:bookmarkEnd w:id="47"/>
    <w:bookmarkStart w:id="49" w:name="ref-RN1541"/>
    <w:p>
      <w:pPr>
        <w:pStyle w:val="Bibliography"/>
      </w:pPr>
      <w:r>
        <w:t xml:space="preserve">Capblancq, T., e B. R. Forester. 2021.</w:t>
      </w:r>
      <w:r>
        <w:t xml:space="preserve"> </w:t>
      </w:r>
      <w:hyperlink r:id="rId48">
        <w:r>
          <w:rPr>
            <w:rStyle w:val="Hyperlink"/>
          </w:rPr>
          <w:t xml:space="preserve">Redundancy analysis: A Swiss Army Knife for landscape genomics</w:t>
        </w:r>
      </w:hyperlink>
      <w:r>
        <w:t xml:space="preserve">. Methods in Ecology and Evolution 12:2298–2309.</w:t>
      </w:r>
    </w:p>
    <w:bookmarkEnd w:id="49"/>
    <w:bookmarkStart w:id="50" w:name="ref-RN1717"/>
    <w:p>
      <w:pPr>
        <w:pStyle w:val="Bibliography"/>
      </w:pPr>
      <w:r>
        <w:t xml:space="preserve">Israëls, A. Z. 1986. Interpretation of Redundancy Analysis: Rotated vs. Unrotated solutions. Applied Stochastic Models and Data Analysis 2:121–130.</w:t>
      </w:r>
    </w:p>
    <w:bookmarkEnd w:id="50"/>
    <w:bookmarkStart w:id="52" w:name="ref-RN1563"/>
    <w:p>
      <w:pPr>
        <w:pStyle w:val="Bibliography"/>
      </w:pPr>
      <w:r>
        <w:t xml:space="preserve">Legendre, P., J. Oksanen, e C. J. F. ter Braak. 2011.</w:t>
      </w:r>
      <w:r>
        <w:t xml:space="preserve"> </w:t>
      </w:r>
      <w:hyperlink r:id="rId51">
        <w:r>
          <w:rPr>
            <w:rStyle w:val="Hyperlink"/>
          </w:rPr>
          <w:t xml:space="preserve">Testing the significance of canonical axes in redundancy analysis</w:t>
        </w:r>
      </w:hyperlink>
      <w:r>
        <w:t xml:space="preserve">. Methods in Ecology and Evolution 2:269–277.</w:t>
      </w:r>
    </w:p>
    <w:bookmarkEnd w:id="52"/>
    <w:bookmarkStart w:id="54" w:name="ref-RN1571"/>
    <w:p>
      <w:pPr>
        <w:pStyle w:val="Bibliography"/>
      </w:pPr>
      <w:r>
        <w:t xml:space="preserve">Lima, E. C. A. de, D. Zeppelini, A. S. Ferreira, R. A. de Brito, J. V. L. C. de Oliveira, E. S. F. Medeiros, C. I. Salimon, e C. Barreto. 2023.</w:t>
      </w:r>
      <w:r>
        <w:t xml:space="preserve"> </w:t>
      </w:r>
      <w:hyperlink r:id="rId53">
        <w:r>
          <w:rPr>
            <w:rStyle w:val="Hyperlink"/>
          </w:rPr>
          <w:t xml:space="preserve">Collembola biocenoses (Arthropoda: Hexapoda) in the archipelago of Fernando de Noronha, Brazil</w:t>
        </w:r>
      </w:hyperlink>
      <w:r>
        <w:t xml:space="preserve">. European Journal of Soil Biology 117:103496.</w:t>
      </w:r>
    </w:p>
    <w:bookmarkEnd w:id="54"/>
    <w:bookmarkStart w:id="56" w:name="ref-RN1705"/>
    <w:p>
      <w:pPr>
        <w:pStyle w:val="Bibliography"/>
      </w:pPr>
      <w:r>
        <w:t xml:space="preserve">Misztal, M. 2017.</w:t>
      </w:r>
      <w:r>
        <w:t xml:space="preserve"> </w:t>
      </w:r>
      <w:hyperlink r:id="rId55">
        <w:r>
          <w:rPr>
            <w:rStyle w:val="Hyperlink"/>
          </w:rPr>
          <w:t xml:space="preserve">On the use of Redundancy Analysis to study the property crime in Poland</w:t>
        </w:r>
      </w:hyperlink>
      <w:r>
        <w:t xml:space="preserve">. Folia Oeconomica 6:99–109.</w:t>
      </w:r>
    </w:p>
    <w:bookmarkEnd w:id="56"/>
    <w:bookmarkStart w:id="57" w:name="ref-RN1723"/>
    <w:p>
      <w:pPr>
        <w:pStyle w:val="Bibliography"/>
      </w:pPr>
      <w:r>
        <w:t xml:space="preserve">Palmer, M. W., D. J. Mcglinn, L. Westerberg, e P. Milberg. 2008. Indices for detecting differences in species composition: some simplifications of RDA and CCA. Ecology 89:1769–1771.</w:t>
      </w:r>
    </w:p>
    <w:bookmarkEnd w:id="57"/>
    <w:bookmarkEnd w:id="58"/>
    <w:bookmarkEnd w:id="59"/>
    <w:bookmarkStart w:id="60" w:name="apêndices"/>
    <w:p>
      <w:pPr>
        <w:pStyle w:val="Heading1"/>
      </w:pPr>
      <w:r>
        <w:t xml:space="preserve">Apêndices</w:t>
      </w:r>
    </w:p>
    <w:bookmarkEnd w:id="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Semestre</w:t>
      </w:r>
      <w:r>
        <w:t xml:space="preserve"> </w:t>
      </w:r>
      <w:r>
        <w:t xml:space="preserve">2023.1</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pt-BR"/>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3f5f6"/>
    </w:pPr>
  </w:style>
  <w:style w:type="character" w:customStyle="1" w:styleId="KeywordTok">
    <w:name w:val="KeywordTok"/>
    <w:basedOn w:val="VerbatimChar"/>
    <w:rPr>
      <w:color w:val="007020"/>
      <w:shd w:val="clear" w:fill="f3f5f6"/>
      <w:b/>
    </w:rPr>
  </w:style>
  <w:style w:type="character" w:customStyle="1" w:styleId="DataTypeTok">
    <w:name w:val="DataTypeTok"/>
    <w:basedOn w:val="VerbatimChar"/>
    <w:rPr>
      <w:color w:val="902000"/>
      <w:shd w:val="clear" w:fill="f3f5f6"/>
    </w:rPr>
  </w:style>
  <w:style w:type="character" w:customStyle="1" w:styleId="DecValTok">
    <w:name w:val="DecValTok"/>
    <w:basedOn w:val="VerbatimChar"/>
    <w:rPr>
      <w:color w:val="40a070"/>
      <w:shd w:val="clear" w:fill="f3f5f6"/>
    </w:rPr>
  </w:style>
  <w:style w:type="character" w:customStyle="1" w:styleId="BaseNTok">
    <w:name w:val="BaseNTok"/>
    <w:basedOn w:val="VerbatimChar"/>
    <w:rPr>
      <w:color w:val="40a070"/>
      <w:shd w:val="clear" w:fill="f3f5f6"/>
    </w:rPr>
  </w:style>
  <w:style w:type="character" w:customStyle="1" w:styleId="FloatTok">
    <w:name w:val="FloatTok"/>
    <w:basedOn w:val="VerbatimChar"/>
    <w:rPr>
      <w:color w:val="40a070"/>
      <w:shd w:val="clear" w:fill="f3f5f6"/>
    </w:rPr>
  </w:style>
  <w:style w:type="character" w:customStyle="1" w:styleId="ConstantTok">
    <w:name w:val="ConstantTok"/>
    <w:basedOn w:val="VerbatimChar"/>
    <w:rPr>
      <w:color w:val="880000"/>
      <w:shd w:val="clear" w:fill="f3f5f6"/>
    </w:rPr>
  </w:style>
  <w:style w:type="character" w:customStyle="1" w:styleId="CharTok">
    <w:name w:val="CharTok"/>
    <w:basedOn w:val="VerbatimChar"/>
    <w:rPr>
      <w:color w:val="4070a0"/>
      <w:shd w:val="clear" w:fill="f3f5f6"/>
    </w:rPr>
  </w:style>
  <w:style w:type="character" w:customStyle="1" w:styleId="SpecialCharTok">
    <w:name w:val="SpecialCharTok"/>
    <w:basedOn w:val="VerbatimChar"/>
    <w:rPr>
      <w:color w:val="4070a0"/>
      <w:shd w:val="clear" w:fill="f3f5f6"/>
    </w:rPr>
  </w:style>
  <w:style w:type="character" w:customStyle="1" w:styleId="StringTok">
    <w:name w:val="StringTok"/>
    <w:basedOn w:val="VerbatimChar"/>
    <w:rPr>
      <w:color w:val="4070a0"/>
      <w:shd w:val="clear" w:fill="f3f5f6"/>
    </w:rPr>
  </w:style>
  <w:style w:type="character" w:customStyle="1" w:styleId="VerbatimStringTok">
    <w:name w:val="VerbatimStringTok"/>
    <w:basedOn w:val="VerbatimChar"/>
    <w:rPr>
      <w:color w:val="4070a0"/>
      <w:shd w:val="clear" w:fill="f3f5f6"/>
    </w:rPr>
  </w:style>
  <w:style w:type="character" w:customStyle="1" w:styleId="SpecialStringTok">
    <w:name w:val="SpecialStringTok"/>
    <w:basedOn w:val="VerbatimChar"/>
    <w:rPr>
      <w:color w:val="bb6688"/>
      <w:shd w:val="clear" w:fill="f3f5f6"/>
    </w:rPr>
  </w:style>
  <w:style w:type="character" w:customStyle="1" w:styleId="ImportTok">
    <w:name w:val="ImportTok"/>
    <w:basedOn w:val="VerbatimChar"/>
    <w:rPr>
      <w:color w:val="008000"/>
      <w:shd w:val="clear" w:fill="f3f5f6"/>
      <w:b/>
    </w:rPr>
  </w:style>
  <w:style w:type="character" w:customStyle="1" w:styleId="CommentTok">
    <w:name w:val="CommentTok"/>
    <w:basedOn w:val="VerbatimChar"/>
    <w:rPr>
      <w:color w:val="60a0b0"/>
      <w:shd w:val="clear" w:fill="f3f5f6"/>
      <w:i/>
    </w:rPr>
  </w:style>
  <w:style w:type="character" w:customStyle="1" w:styleId="DocumentationTok">
    <w:name w:val="DocumentationTok"/>
    <w:basedOn w:val="VerbatimChar"/>
    <w:rPr>
      <w:color w:val="ba2121"/>
      <w:shd w:val="clear" w:fill="f3f5f6"/>
      <w:i/>
    </w:rPr>
  </w:style>
  <w:style w:type="character" w:customStyle="1" w:styleId="AnnotationTok">
    <w:name w:val="AnnotationTok"/>
    <w:basedOn w:val="VerbatimChar"/>
    <w:rPr>
      <w:color w:val="60a0b0"/>
      <w:shd w:val="clear" w:fill="f3f5f6"/>
      <w:b/>
      <w:i/>
    </w:rPr>
  </w:style>
  <w:style w:type="character" w:customStyle="1" w:styleId="CommentVarTok">
    <w:name w:val="CommentVarTok"/>
    <w:basedOn w:val="VerbatimChar"/>
    <w:rPr>
      <w:color w:val="60a0b0"/>
      <w:shd w:val="clear" w:fill="f3f5f6"/>
      <w:b/>
      <w:i/>
    </w:rPr>
  </w:style>
  <w:style w:type="character" w:customStyle="1" w:styleId="OtherTok">
    <w:name w:val="OtherTok"/>
    <w:basedOn w:val="VerbatimChar"/>
    <w:rPr>
      <w:color w:val="007020"/>
      <w:shd w:val="clear" w:fill="f3f5f6"/>
    </w:rPr>
  </w:style>
  <w:style w:type="character" w:customStyle="1" w:styleId="FunctionTok">
    <w:name w:val="FunctionTok"/>
    <w:basedOn w:val="VerbatimChar"/>
    <w:rPr>
      <w:color w:val="06287e"/>
      <w:shd w:val="clear" w:fill="f3f5f6"/>
    </w:rPr>
  </w:style>
  <w:style w:type="character" w:customStyle="1" w:styleId="VariableTok">
    <w:name w:val="VariableTok"/>
    <w:basedOn w:val="VerbatimChar"/>
    <w:rPr>
      <w:color w:val="19177c"/>
      <w:shd w:val="clear" w:fill="f3f5f6"/>
    </w:rPr>
  </w:style>
  <w:style w:type="character" w:customStyle="1" w:styleId="ControlFlowTok">
    <w:name w:val="ControlFlowTok"/>
    <w:basedOn w:val="VerbatimChar"/>
    <w:rPr>
      <w:color w:val="007020"/>
      <w:shd w:val="clear" w:fill="f3f5f6"/>
      <w:b/>
    </w:rPr>
  </w:style>
  <w:style w:type="character" w:customStyle="1" w:styleId="OperatorTok">
    <w:name w:val="OperatorTok"/>
    <w:basedOn w:val="VerbatimChar"/>
    <w:rPr>
      <w:color w:val="666666"/>
      <w:shd w:val="clear" w:fill="f3f5f6"/>
    </w:rPr>
  </w:style>
  <w:style w:type="character" w:customStyle="1" w:styleId="BuiltInTok">
    <w:name w:val="BuiltInTok"/>
    <w:basedOn w:val="VerbatimChar"/>
    <w:rPr>
      <w:color w:val="008000"/>
      <w:shd w:val="clear" w:fill="f3f5f6"/>
    </w:rPr>
  </w:style>
  <w:style w:type="character" w:customStyle="1" w:styleId="ExtensionTok">
    <w:name w:val="ExtensionTok"/>
    <w:basedOn w:val="VerbatimChar"/>
    <w:rPr>
      <w:color w:val="007020"/>
      <w:shd w:val="clear" w:fill="f3f5f6"/>
    </w:rPr>
  </w:style>
  <w:style w:type="character" w:customStyle="1" w:styleId="PreprocessorTok">
    <w:name w:val="PreprocessorTok"/>
    <w:basedOn w:val="VerbatimChar"/>
    <w:rPr>
      <w:color w:val="bc7a00"/>
      <w:shd w:val="clear" w:fill="f3f5f6"/>
    </w:rPr>
  </w:style>
  <w:style w:type="character" w:customStyle="1" w:styleId="AttributeTok">
    <w:name w:val="AttributeTok"/>
    <w:basedOn w:val="VerbatimChar"/>
    <w:rPr>
      <w:color w:val="7d9029"/>
      <w:shd w:val="clear" w:fill="f3f5f6"/>
    </w:rPr>
  </w:style>
  <w:style w:type="character" w:customStyle="1" w:styleId="RegionMarkerTok">
    <w:name w:val="RegionMarkerTok"/>
    <w:basedOn w:val="VerbatimChar"/>
    <w:rPr>
      <w:color w:val="007020"/>
      <w:shd w:val="clear" w:fill="f3f5f6"/>
    </w:rPr>
  </w:style>
  <w:style w:type="character" w:customStyle="1" w:styleId="InformationTok">
    <w:name w:val="InformationTok"/>
    <w:basedOn w:val="VerbatimChar"/>
    <w:rPr>
      <w:color w:val="60a0b0"/>
      <w:shd w:val="clear" w:fill="f3f5f6"/>
      <w:b/>
      <w:i/>
    </w:rPr>
  </w:style>
  <w:style w:type="character" w:customStyle="1" w:styleId="WarningTok">
    <w:name w:val="WarningTok"/>
    <w:basedOn w:val="VerbatimChar"/>
    <w:rPr>
      <w:color w:val="60a0b0"/>
      <w:shd w:val="clear" w:fill="f3f5f6"/>
      <w:b/>
      <w:i/>
    </w:rPr>
  </w:style>
  <w:style w:type="character" w:customStyle="1" w:styleId="AlertTok">
    <w:name w:val="AlertTok"/>
    <w:basedOn w:val="VerbatimChar"/>
    <w:rPr>
      <w:color w:val="ff0000"/>
      <w:shd w:val="clear" w:fill="f3f5f6"/>
      <w:b/>
    </w:rPr>
  </w:style>
  <w:style w:type="character" w:customStyle="1" w:styleId="ErrorTok">
    <w:name w:val="ErrorTok"/>
    <w:basedOn w:val="VerbatimChar"/>
    <w:rPr>
      <w:color w:val="ff0000"/>
      <w:shd w:val="clear" w:fill="f3f5f6"/>
      <w:b/>
    </w:rPr>
  </w:style>
  <w:style w:type="character" w:customStyle="1" w:styleId="NormalTok">
    <w:name w:val="NormalTok"/>
    <w:basedOn w:val="VerbatimChar"/>
    <w:rPr>
      <w:color w:val="007020"/>
      <w:shd w:val="clear" w:fill="f3f5f6"/>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9" Target="media/rId29.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hyperlink" Id="rId53" Target="https://doi.org/10.1016/j.ejsobi.2023.103496" TargetMode="External" /><Relationship Type="http://schemas.openxmlformats.org/officeDocument/2006/relationships/hyperlink" Id="rId48" Target="https://doi.org/10.1111/2041-210X.13722" TargetMode="External" /><Relationship Type="http://schemas.openxmlformats.org/officeDocument/2006/relationships/hyperlink" Id="rId51" Target="https://doi.org/10.1111/j.2041-210X.2010.00078.x" TargetMode="External" /><Relationship Type="http://schemas.openxmlformats.org/officeDocument/2006/relationships/hyperlink" Id="rId55" Target="https://doi.org/10.18778/0208-6018.332.07" TargetMode="External" /><Relationship Type="http://schemas.openxmlformats.org/officeDocument/2006/relationships/hyperlink" Id="rId46" Target="https://doi.org/10.1890/13-0648.1" TargetMode="External" /></Relationships>
</file>

<file path=word/_rels/footnotes.xml.rels><?xml version="1.0" encoding="UTF-8"?><Relationships xmlns="http://schemas.openxmlformats.org/package/2006/relationships"><Relationship Type="http://schemas.openxmlformats.org/officeDocument/2006/relationships/hyperlink" Id="rId53" Target="https://doi.org/10.1016/j.ejsobi.2023.103496" TargetMode="External" /><Relationship Type="http://schemas.openxmlformats.org/officeDocument/2006/relationships/hyperlink" Id="rId48" Target="https://doi.org/10.1111/2041-210X.13722" TargetMode="External" /><Relationship Type="http://schemas.openxmlformats.org/officeDocument/2006/relationships/hyperlink" Id="rId51" Target="https://doi.org/10.1111/j.2041-210X.2010.00078.x" TargetMode="External" /><Relationship Type="http://schemas.openxmlformats.org/officeDocument/2006/relationships/hyperlink" Id="rId55" Target="https://doi.org/10.18778/0208-6018.332.07" TargetMode="External" /><Relationship Type="http://schemas.openxmlformats.org/officeDocument/2006/relationships/hyperlink" Id="rId46" Target="https://doi.org/10.1890/13-0648.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Distribuição espacial de Colêmbola no Arquipélago de Fernando de Noronha</dc:title>
  <dc:creator>Prof. Elvio S. F. Medeiros; Laboratório de Ecologia; Universidade Estadual da Paraíba; Campus V, João Pessoa, PB</dc:creator>
  <dc:language>pt-br</dc:language>
  <cp:keywords/>
  <dcterms:created xsi:type="dcterms:W3CDTF">2023-06-19T19:52:36Z</dcterms:created>
  <dcterms:modified xsi:type="dcterms:W3CDTF">2023-06-19T19:52:36Z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Nesse artigo publicado por Lima et al. (2023), usa-se db-RDA para se estabelecer a correlação entre variáveis ambientais e os padrões de distribuição de Colêmbola em ilhas do Arquipélago de Fernando de Noronha.</vt:lpwstr>
  </property>
  <property fmtid="{D5CDD505-2E9C-101B-9397-08002B2CF9AE}" pid="3" name="always_allow_html">
    <vt:lpwstr>yes</vt:lpwstr>
  </property>
  <property fmtid="{D5CDD505-2E9C-101B-9397-08002B2CF9AE}" pid="4" name="authors">
    <vt:lpwstr/>
  </property>
  <property fmtid="{D5CDD505-2E9C-101B-9397-08002B2CF9AE}" pid="5" name="biblio-config">
    <vt:lpwstr>True</vt:lpwstr>
  </property>
  <property fmtid="{D5CDD505-2E9C-101B-9397-08002B2CF9AE}" pid="6" name="bibliography">
    <vt:lpwstr>D:/Elvio/OneDrive/Disciplinas/_EcoNumerica/3.R_Markdown/my_references-x9.bib</vt:lpwstr>
  </property>
  <property fmtid="{D5CDD505-2E9C-101B-9397-08002B2CF9AE}" pid="7" name="by-author">
    <vt:lpwstr/>
  </property>
  <property fmtid="{D5CDD505-2E9C-101B-9397-08002B2CF9AE}" pid="8" name="code-copy">
    <vt:lpwstr>True</vt:lpwstr>
  </property>
  <property fmtid="{D5CDD505-2E9C-101B-9397-08002B2CF9AE}" pid="9" name="csl">
    <vt:lpwstr>D:/Elvio/OneDrive/Disciplinas/_EcoNumerica/3.R_Markdown/ecology.csl</vt:lpwstr>
  </property>
  <property fmtid="{D5CDD505-2E9C-101B-9397-08002B2CF9AE}" pid="10" name="date">
    <vt:lpwstr>2023-06-19</vt:lpwstr>
  </property>
  <property fmtid="{D5CDD505-2E9C-101B-9397-08002B2CF9AE}" pid="11" name="editor">
    <vt:lpwstr>source</vt:lpwstr>
  </property>
  <property fmtid="{D5CDD505-2E9C-101B-9397-08002B2CF9AE}" pid="12" name="editor_options">
    <vt:lpwstr/>
  </property>
  <property fmtid="{D5CDD505-2E9C-101B-9397-08002B2CF9AE}" pid="13" name="execute">
    <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subtitle">
    <vt:lpwstr>Disciplina de Ecologia Numérica</vt:lpwstr>
  </property>
  <property fmtid="{D5CDD505-2E9C-101B-9397-08002B2CF9AE}" pid="19" name="toc-title">
    <vt:lpwstr>Índice</vt:lpwstr>
  </property>
</Properties>
</file>